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7D27" w14:textId="77777777" w:rsidR="00C434A0" w:rsidRPr="00062031" w:rsidRDefault="00C434A0" w:rsidP="00F76569">
      <w:pPr>
        <w:jc w:val="right"/>
        <w:rPr>
          <w:rFonts w:ascii="Arial" w:hAnsi="Arial" w:cs="Arial"/>
        </w:rPr>
      </w:pPr>
    </w:p>
    <w:p w14:paraId="7DDEFD90" w14:textId="563CCE31" w:rsidR="00743A52" w:rsidRPr="004B436D" w:rsidRDefault="00743A52" w:rsidP="00BB11F2">
      <w:pPr>
        <w:rPr>
          <w:rFonts w:ascii="Arial,Bold" w:eastAsia="Times New Roman" w:hAnsi="Arial,Bold"/>
          <w:b/>
          <w:snapToGrid w:val="0"/>
          <w:color w:val="000000"/>
        </w:rPr>
      </w:pPr>
    </w:p>
    <w:p w14:paraId="5780BFD1" w14:textId="77777777" w:rsidR="00581A40" w:rsidRDefault="00FB7639" w:rsidP="00FB7639">
      <w:pPr>
        <w:spacing w:before="120" w:after="120"/>
        <w:jc w:val="right"/>
        <w:rPr>
          <w:rFonts w:ascii="Arial" w:hAnsi="Arial"/>
          <w:kern w:val="2"/>
          <w14:ligatures w14:val="standardContextual"/>
        </w:rPr>
      </w:pPr>
      <w:r w:rsidRPr="00FB7639">
        <w:rPr>
          <w:rFonts w:ascii="Arial" w:hAnsi="Arial"/>
          <w:noProof/>
          <w:kern w:val="2"/>
          <w14:ligatures w14:val="standardContextual"/>
        </w:rPr>
        <w:drawing>
          <wp:inline distT="0" distB="0" distL="0" distR="0" wp14:anchorId="4D84E702" wp14:editId="79A52E69">
            <wp:extent cx="5425601" cy="8841427"/>
            <wp:effectExtent l="0" t="0" r="3810" b="0"/>
            <wp:docPr id="833737121" name="Picture 1" descr="A blue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737121" name="Picture 1" descr="A blue rectangular sign with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192" cy="890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BABFE" w14:textId="77777777" w:rsidR="00581A40" w:rsidRDefault="00581A40" w:rsidP="00FB7639">
      <w:pPr>
        <w:spacing w:before="120" w:after="120"/>
        <w:jc w:val="right"/>
        <w:rPr>
          <w:rFonts w:ascii="Arial" w:hAnsi="Arial"/>
          <w:kern w:val="2"/>
          <w14:ligatures w14:val="standardContextual"/>
        </w:rPr>
        <w:sectPr w:rsidR="00581A40" w:rsidSect="00B2662A">
          <w:headerReference w:type="default" r:id="rId9"/>
          <w:footerReference w:type="default" r:id="rId10"/>
          <w:pgSz w:w="11906" w:h="16838"/>
          <w:pgMar w:top="284" w:right="849" w:bottom="1440" w:left="1440" w:header="284" w:footer="450" w:gutter="0"/>
          <w:cols w:space="708"/>
          <w:docGrid w:linePitch="360"/>
        </w:sectPr>
      </w:pPr>
    </w:p>
    <w:p w14:paraId="419F2FF1" w14:textId="77777777" w:rsidR="00FB7639" w:rsidRPr="00FB7639" w:rsidRDefault="00FB7639" w:rsidP="00FB7639">
      <w:pPr>
        <w:spacing w:before="120" w:after="120"/>
        <w:ind w:hanging="426"/>
        <w:rPr>
          <w:rFonts w:ascii="Arial" w:hAnsi="Arial"/>
          <w:kern w:val="2"/>
          <w14:ligatures w14:val="standardContextual"/>
        </w:rPr>
      </w:pPr>
      <w:r w:rsidRPr="00FB7639">
        <w:rPr>
          <w:rFonts w:ascii="Arial" w:hAnsi="Arial"/>
          <w:noProof/>
          <w:kern w:val="2"/>
          <w14:ligatures w14:val="standardContextual"/>
        </w:rPr>
        <w:lastRenderedPageBreak/>
        <w:drawing>
          <wp:inline distT="0" distB="0" distL="0" distR="0" wp14:anchorId="394EE3E1" wp14:editId="22890E93">
            <wp:extent cx="9488044" cy="3173104"/>
            <wp:effectExtent l="0" t="0" r="0" b="8255"/>
            <wp:docPr id="11123998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399841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01848" cy="31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0418" w14:textId="69BEEEDF" w:rsidR="00885C94" w:rsidRDefault="00885C94" w:rsidP="00FB7639">
      <w:pPr>
        <w:spacing w:before="120" w:after="120"/>
        <w:rPr>
          <w:rFonts w:ascii="Arial" w:hAnsi="Arial"/>
          <w:kern w:val="2"/>
          <w:sz w:val="20"/>
          <w:szCs w:val="20"/>
          <w14:ligatures w14:val="standardContextual"/>
        </w:rPr>
      </w:pPr>
      <w:r w:rsidRPr="00885C94">
        <w:rPr>
          <w:rFonts w:ascii="Arial" w:hAnsi="Arial"/>
          <w:kern w:val="2"/>
          <w:sz w:val="20"/>
          <w:szCs w:val="20"/>
          <w14:ligatures w14:val="standardContextual"/>
        </w:rPr>
        <w:t xml:space="preserve">The meters have been selected based on the national recommendations along with existing preferences for placed-based teams. This will </w:t>
      </w:r>
      <w:proofErr w:type="gramStart"/>
      <w:r w:rsidRPr="00885C94">
        <w:rPr>
          <w:rFonts w:ascii="Arial" w:hAnsi="Arial"/>
          <w:kern w:val="2"/>
          <w:sz w:val="20"/>
          <w:szCs w:val="20"/>
          <w14:ligatures w14:val="standardContextual"/>
        </w:rPr>
        <w:t>help:</w:t>
      </w:r>
      <w:proofErr w:type="gramEnd"/>
      <w:r w:rsidRPr="00885C94">
        <w:rPr>
          <w:rFonts w:ascii="Arial" w:hAnsi="Arial"/>
          <w:kern w:val="2"/>
          <w:sz w:val="20"/>
          <w:szCs w:val="20"/>
          <w14:ligatures w14:val="standardContextual"/>
        </w:rPr>
        <w:t xml:space="preserve"> avoid unnecessary switches, reduce workload</w:t>
      </w:r>
      <w:r w:rsidR="009B559C">
        <w:rPr>
          <w:rFonts w:ascii="Arial" w:hAnsi="Arial"/>
          <w:kern w:val="2"/>
          <w:sz w:val="20"/>
          <w:szCs w:val="20"/>
          <w14:ligatures w14:val="standardContextual"/>
        </w:rPr>
        <w:t xml:space="preserve"> and</w:t>
      </w:r>
      <w:r w:rsidRPr="00885C94">
        <w:rPr>
          <w:rFonts w:ascii="Arial" w:hAnsi="Arial"/>
          <w:kern w:val="2"/>
          <w:sz w:val="20"/>
          <w:szCs w:val="20"/>
          <w14:ligatures w14:val="standardContextual"/>
        </w:rPr>
        <w:t xml:space="preserve"> maintain local supplies while at the same time ensuring cost effective choices.</w:t>
      </w:r>
    </w:p>
    <w:p w14:paraId="12FF0C31" w14:textId="522AF327" w:rsidR="00FB7639" w:rsidRPr="00FB7639" w:rsidRDefault="00FB7639" w:rsidP="00FB7639">
      <w:pPr>
        <w:spacing w:before="120" w:after="120"/>
        <w:rPr>
          <w:rFonts w:ascii="Arial" w:hAnsi="Arial"/>
          <w:kern w:val="2"/>
          <w:sz w:val="20"/>
          <w:szCs w:val="20"/>
          <w14:ligatures w14:val="standardContextual"/>
        </w:rPr>
      </w:pPr>
      <w:r w:rsidRPr="00FB7639">
        <w:rPr>
          <w:rFonts w:ascii="Arial" w:hAnsi="Arial"/>
          <w:kern w:val="2"/>
          <w:sz w:val="20"/>
          <w:szCs w:val="20"/>
          <w14:ligatures w14:val="standardContextual"/>
        </w:rPr>
        <w:t xml:space="preserve">Refer to NHSE Commissioning recommendations for blood glucose and ketone meters, testing strips and lancets (April 2023) additional options for specialist use e.g. in Paediatrics, Gestational </w:t>
      </w:r>
      <w:proofErr w:type="gramStart"/>
      <w:r w:rsidRPr="00FB7639">
        <w:rPr>
          <w:rFonts w:ascii="Arial" w:hAnsi="Arial"/>
          <w:kern w:val="2"/>
          <w:sz w:val="20"/>
          <w:szCs w:val="20"/>
          <w14:ligatures w14:val="standardContextual"/>
        </w:rPr>
        <w:t>diabetes</w:t>
      </w:r>
      <w:proofErr w:type="gramEnd"/>
      <w:r w:rsidRPr="00FB7639">
        <w:rPr>
          <w:rFonts w:ascii="Arial" w:hAnsi="Arial"/>
          <w:kern w:val="2"/>
          <w:sz w:val="20"/>
          <w:szCs w:val="20"/>
          <w14:ligatures w14:val="standardContextual"/>
        </w:rPr>
        <w:t xml:space="preserve"> and specific additional functionality.</w:t>
      </w:r>
    </w:p>
    <w:p w14:paraId="5D836CE5" w14:textId="77777777" w:rsidR="00FB7639" w:rsidRPr="00FB7639" w:rsidRDefault="00000000" w:rsidP="00FB7639">
      <w:pPr>
        <w:spacing w:before="120" w:after="120"/>
        <w:rPr>
          <w:rFonts w:ascii="Arial" w:hAnsi="Arial"/>
          <w:kern w:val="2"/>
          <w:sz w:val="20"/>
          <w:szCs w:val="20"/>
          <w14:ligatures w14:val="standardContextual"/>
        </w:rPr>
      </w:pPr>
      <w:hyperlink r:id="rId12" w:history="1">
        <w:r w:rsidR="00FB7639" w:rsidRPr="00FB7639">
          <w:rPr>
            <w:rFonts w:ascii="Arial" w:hAnsi="Arial"/>
            <w:color w:val="0563C1"/>
            <w:kern w:val="2"/>
            <w:sz w:val="20"/>
            <w:szCs w:val="20"/>
            <w:u w:val="single"/>
            <w14:ligatures w14:val="standardContextual"/>
          </w:rPr>
          <w:t>https://www.england.nhs.uk/publication/commissioning-recommendations-blood-glucose-and-ketone-meters-testing-strips-and-lancets</w:t>
        </w:r>
      </w:hyperlink>
      <w:r w:rsidR="00FB7639" w:rsidRPr="00FB7639">
        <w:rPr>
          <w:rFonts w:ascii="Arial" w:hAnsi="Arial"/>
          <w:kern w:val="2"/>
          <w:sz w:val="20"/>
          <w:szCs w:val="20"/>
          <w14:ligatures w14:val="standardContextual"/>
        </w:rPr>
        <w:t xml:space="preserve"> </w:t>
      </w:r>
    </w:p>
    <w:p w14:paraId="16A2FCD3" w14:textId="4432BD21" w:rsidR="00B5449F" w:rsidRPr="00826788" w:rsidRDefault="00B5449F" w:rsidP="00826788">
      <w:pPr>
        <w:spacing w:before="120" w:after="120"/>
        <w:rPr>
          <w:rFonts w:ascii="Arial" w:hAnsi="Arial"/>
          <w:kern w:val="2"/>
          <w:sz w:val="20"/>
          <w:szCs w:val="20"/>
          <w14:ligatures w14:val="standardContextual"/>
        </w:rPr>
      </w:pPr>
    </w:p>
    <w:sectPr w:rsidR="00B5449F" w:rsidRPr="00826788" w:rsidSect="00B2662A">
      <w:headerReference w:type="default" r:id="rId13"/>
      <w:footerReference w:type="default" r:id="rId14"/>
      <w:headerReference w:type="first" r:id="rId15"/>
      <w:pgSz w:w="16838" w:h="11906" w:orient="landscape"/>
      <w:pgMar w:top="1440" w:right="1440" w:bottom="1440" w:left="1440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995D" w14:textId="77777777" w:rsidR="00B2662A" w:rsidRDefault="00B2662A" w:rsidP="00DB18FA">
      <w:r>
        <w:separator/>
      </w:r>
    </w:p>
  </w:endnote>
  <w:endnote w:type="continuationSeparator" w:id="0">
    <w:p w14:paraId="1B751949" w14:textId="77777777" w:rsidR="00B2662A" w:rsidRDefault="00B2662A" w:rsidP="00DB18FA">
      <w:r>
        <w:continuationSeparator/>
      </w:r>
    </w:p>
  </w:endnote>
  <w:endnote w:type="continuationNotice" w:id="1">
    <w:p w14:paraId="1EA2FD56" w14:textId="77777777" w:rsidR="00B2662A" w:rsidRDefault="00B26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3212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706996" w14:textId="77777777" w:rsidR="008F3C1B" w:rsidRPr="00AA0165" w:rsidRDefault="008F3C1B" w:rsidP="00EF45A9">
            <w:pPr>
              <w:pStyle w:val="Footer"/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AA0165">
              <w:rPr>
                <w:rFonts w:ascii="Arial" w:hAnsi="Arial" w:cs="Arial"/>
              </w:rPr>
              <w:t xml:space="preserve">Page </w:t>
            </w:r>
            <w:r w:rsidRPr="00AA01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A016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A01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A0165">
              <w:rPr>
                <w:rFonts w:ascii="Arial" w:hAnsi="Arial" w:cs="Arial"/>
                <w:b/>
                <w:bCs/>
                <w:noProof/>
              </w:rPr>
              <w:t>2</w:t>
            </w:r>
            <w:r w:rsidRPr="00AA01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A0165">
              <w:rPr>
                <w:rFonts w:ascii="Arial" w:hAnsi="Arial" w:cs="Arial"/>
              </w:rPr>
              <w:t xml:space="preserve"> of </w:t>
            </w:r>
            <w:r w:rsidRPr="00AA01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A016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A01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A0165">
              <w:rPr>
                <w:rFonts w:ascii="Arial" w:hAnsi="Arial" w:cs="Arial"/>
                <w:b/>
                <w:bCs/>
                <w:noProof/>
              </w:rPr>
              <w:t>2</w:t>
            </w:r>
            <w:r w:rsidRPr="00AA01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5A41" w14:textId="6DD42B3A" w:rsidR="00984523" w:rsidRPr="00B7058F" w:rsidRDefault="00984523" w:rsidP="006C7DD0">
    <w:pPr>
      <w:pStyle w:val="NoSpacing"/>
      <w:jc w:val="right"/>
      <w:rPr>
        <w:rFonts w:ascii="Arial" w:hAnsi="Arial" w:cs="Arial"/>
        <w:color w:val="C0504D" w:themeColor="accent2"/>
        <w:sz w:val="18"/>
        <w:szCs w:val="18"/>
      </w:rPr>
    </w:pPr>
    <w:r w:rsidRPr="005964BD">
      <w:rPr>
        <w:rFonts w:ascii="Arial" w:hAnsi="Arial" w:cs="Arial"/>
        <w:sz w:val="18"/>
        <w:szCs w:val="18"/>
      </w:rPr>
      <w:t xml:space="preserve">Page </w:t>
    </w:r>
    <w:r w:rsidRPr="005964BD">
      <w:rPr>
        <w:rFonts w:ascii="Arial" w:hAnsi="Arial" w:cs="Arial"/>
        <w:b/>
        <w:sz w:val="18"/>
        <w:szCs w:val="18"/>
      </w:rPr>
      <w:fldChar w:fldCharType="begin"/>
    </w:r>
    <w:r w:rsidRPr="005964BD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5964BD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5964BD">
      <w:rPr>
        <w:rFonts w:ascii="Arial" w:hAnsi="Arial" w:cs="Arial"/>
        <w:b/>
        <w:sz w:val="18"/>
        <w:szCs w:val="18"/>
      </w:rPr>
      <w:fldChar w:fldCharType="end"/>
    </w:r>
    <w:r w:rsidRPr="005964BD">
      <w:rPr>
        <w:rFonts w:ascii="Arial" w:hAnsi="Arial" w:cs="Arial"/>
        <w:sz w:val="18"/>
        <w:szCs w:val="18"/>
      </w:rPr>
      <w:t xml:space="preserve"> of </w:t>
    </w:r>
    <w:r w:rsidRPr="005964BD">
      <w:rPr>
        <w:rFonts w:ascii="Arial" w:hAnsi="Arial" w:cs="Arial"/>
        <w:b/>
        <w:sz w:val="18"/>
        <w:szCs w:val="18"/>
      </w:rPr>
      <w:fldChar w:fldCharType="begin"/>
    </w:r>
    <w:r w:rsidRPr="005964BD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5964BD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5</w:t>
    </w:r>
    <w:r w:rsidRPr="005964BD">
      <w:rPr>
        <w:rFonts w:ascii="Arial" w:hAnsi="Arial" w:cs="Arial"/>
        <w:b/>
        <w:sz w:val="18"/>
        <w:szCs w:val="18"/>
      </w:rPr>
      <w:fldChar w:fldCharType="end"/>
    </w:r>
  </w:p>
  <w:p w14:paraId="7AB821AA" w14:textId="77777777" w:rsidR="00984523" w:rsidRDefault="00984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47FD" w14:textId="77777777" w:rsidR="00B2662A" w:rsidRDefault="00B2662A" w:rsidP="00DB18FA">
      <w:r>
        <w:separator/>
      </w:r>
    </w:p>
  </w:footnote>
  <w:footnote w:type="continuationSeparator" w:id="0">
    <w:p w14:paraId="73A32B3D" w14:textId="77777777" w:rsidR="00B2662A" w:rsidRDefault="00B2662A" w:rsidP="00DB18FA">
      <w:r>
        <w:continuationSeparator/>
      </w:r>
    </w:p>
  </w:footnote>
  <w:footnote w:type="continuationNotice" w:id="1">
    <w:p w14:paraId="0E884482" w14:textId="77777777" w:rsidR="00B2662A" w:rsidRDefault="00B26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2B55" w14:textId="0D02EC5D" w:rsidR="008F3C1B" w:rsidRDefault="008F3C1B">
    <w:pPr>
      <w:pStyle w:val="Header"/>
    </w:pPr>
    <w:r>
      <w:tab/>
    </w:r>
    <w:r>
      <w:tab/>
    </w:r>
    <w:r>
      <w:tab/>
    </w:r>
  </w:p>
  <w:p w14:paraId="09E73FD6" w14:textId="77777777" w:rsidR="008F3C1B" w:rsidRDefault="008F3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B930" w14:textId="59EEECC7" w:rsidR="00984523" w:rsidRPr="006C7DD0" w:rsidRDefault="00984523" w:rsidP="006C7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3916" w14:textId="77777777" w:rsidR="00984523" w:rsidRDefault="00984523" w:rsidP="000C0134">
    <w:pPr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2EFE3" wp14:editId="02D99ECD">
          <wp:simplePos x="0" y="0"/>
          <wp:positionH relativeFrom="column">
            <wp:posOffset>3867056</wp:posOffset>
          </wp:positionH>
          <wp:positionV relativeFrom="paragraph">
            <wp:posOffset>-260350</wp:posOffset>
          </wp:positionV>
          <wp:extent cx="2641600" cy="800100"/>
          <wp:effectExtent l="0" t="0" r="0" b="0"/>
          <wp:wrapNone/>
          <wp:docPr id="1875752422" name="Picture 1875752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C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003">
      <w:t xml:space="preserve">Your NHS partner for </w:t>
    </w:r>
    <w:r w:rsidRPr="00720003">
      <w:rPr>
        <w:b/>
      </w:rPr>
      <w:t xml:space="preserve">improving </w:t>
    </w:r>
    <w:r w:rsidRPr="00720003">
      <w:rPr>
        <w:b/>
      </w:rPr>
      <w:br/>
      <w:t>health</w:t>
    </w:r>
    <w:r w:rsidRPr="00720003">
      <w:t xml:space="preserve"> and </w:t>
    </w:r>
    <w:r w:rsidRPr="00720003">
      <w:rPr>
        <w:b/>
      </w:rPr>
      <w:t xml:space="preserve">integrating </w:t>
    </w:r>
    <w:proofErr w:type="gramStart"/>
    <w:r w:rsidRPr="00720003">
      <w:rPr>
        <w:b/>
      </w:rPr>
      <w:t>care</w:t>
    </w:r>
    <w:proofErr w:type="gramEnd"/>
  </w:p>
  <w:p w14:paraId="587DCF11" w14:textId="77777777" w:rsidR="00984523" w:rsidRDefault="00984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B7F"/>
    <w:multiLevelType w:val="hybridMultilevel"/>
    <w:tmpl w:val="51464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E27A3"/>
    <w:multiLevelType w:val="hybridMultilevel"/>
    <w:tmpl w:val="93E8D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753B"/>
    <w:multiLevelType w:val="hybridMultilevel"/>
    <w:tmpl w:val="4E92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27F"/>
    <w:multiLevelType w:val="hybridMultilevel"/>
    <w:tmpl w:val="7E88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B00BA"/>
    <w:multiLevelType w:val="hybridMultilevel"/>
    <w:tmpl w:val="F9B8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7AD0"/>
    <w:multiLevelType w:val="hybridMultilevel"/>
    <w:tmpl w:val="A3A4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940E5"/>
    <w:multiLevelType w:val="hybridMultilevel"/>
    <w:tmpl w:val="AD72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2142"/>
    <w:multiLevelType w:val="hybridMultilevel"/>
    <w:tmpl w:val="22767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F32F1"/>
    <w:multiLevelType w:val="hybridMultilevel"/>
    <w:tmpl w:val="091E28C0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2EE1239A"/>
    <w:multiLevelType w:val="hybridMultilevel"/>
    <w:tmpl w:val="0EA41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1093"/>
    <w:multiLevelType w:val="hybridMultilevel"/>
    <w:tmpl w:val="2AE26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26420"/>
    <w:multiLevelType w:val="hybridMultilevel"/>
    <w:tmpl w:val="EFAAE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6507B"/>
    <w:multiLevelType w:val="hybridMultilevel"/>
    <w:tmpl w:val="8550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B0904"/>
    <w:multiLevelType w:val="hybridMultilevel"/>
    <w:tmpl w:val="4316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11672"/>
    <w:multiLevelType w:val="hybridMultilevel"/>
    <w:tmpl w:val="8A6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169D5"/>
    <w:multiLevelType w:val="hybridMultilevel"/>
    <w:tmpl w:val="C61C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2BA2"/>
    <w:multiLevelType w:val="hybridMultilevel"/>
    <w:tmpl w:val="57ACC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B97"/>
    <w:multiLevelType w:val="hybridMultilevel"/>
    <w:tmpl w:val="CDAA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E0DC4"/>
    <w:multiLevelType w:val="hybridMultilevel"/>
    <w:tmpl w:val="DA64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8164F"/>
    <w:multiLevelType w:val="hybridMultilevel"/>
    <w:tmpl w:val="2478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5F33"/>
    <w:multiLevelType w:val="hybridMultilevel"/>
    <w:tmpl w:val="F2B0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50A6E"/>
    <w:multiLevelType w:val="hybridMultilevel"/>
    <w:tmpl w:val="EF8203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0472C"/>
    <w:multiLevelType w:val="hybridMultilevel"/>
    <w:tmpl w:val="6564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66057"/>
    <w:multiLevelType w:val="hybridMultilevel"/>
    <w:tmpl w:val="677C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21E6E"/>
    <w:multiLevelType w:val="hybridMultilevel"/>
    <w:tmpl w:val="3818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95525"/>
    <w:multiLevelType w:val="hybridMultilevel"/>
    <w:tmpl w:val="5C50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F3A2C"/>
    <w:multiLevelType w:val="hybridMultilevel"/>
    <w:tmpl w:val="C55C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54D9"/>
    <w:multiLevelType w:val="hybridMultilevel"/>
    <w:tmpl w:val="801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85214"/>
    <w:multiLevelType w:val="hybridMultilevel"/>
    <w:tmpl w:val="00B6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F1F81"/>
    <w:multiLevelType w:val="hybridMultilevel"/>
    <w:tmpl w:val="8DEC1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206D9"/>
    <w:multiLevelType w:val="hybridMultilevel"/>
    <w:tmpl w:val="E920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252B1"/>
    <w:multiLevelType w:val="hybridMultilevel"/>
    <w:tmpl w:val="25DA8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4C3DF4"/>
    <w:multiLevelType w:val="hybridMultilevel"/>
    <w:tmpl w:val="12BE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5F83"/>
    <w:multiLevelType w:val="hybridMultilevel"/>
    <w:tmpl w:val="F148D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327582">
    <w:abstractNumId w:val="33"/>
  </w:num>
  <w:num w:numId="2" w16cid:durableId="942347984">
    <w:abstractNumId w:val="27"/>
  </w:num>
  <w:num w:numId="3" w16cid:durableId="974220418">
    <w:abstractNumId w:val="5"/>
  </w:num>
  <w:num w:numId="4" w16cid:durableId="2057922020">
    <w:abstractNumId w:val="14"/>
  </w:num>
  <w:num w:numId="5" w16cid:durableId="1191186714">
    <w:abstractNumId w:val="17"/>
  </w:num>
  <w:num w:numId="6" w16cid:durableId="1313831831">
    <w:abstractNumId w:val="2"/>
  </w:num>
  <w:num w:numId="7" w16cid:durableId="796800463">
    <w:abstractNumId w:val="31"/>
  </w:num>
  <w:num w:numId="8" w16cid:durableId="475923495">
    <w:abstractNumId w:val="28"/>
  </w:num>
  <w:num w:numId="9" w16cid:durableId="1629318022">
    <w:abstractNumId w:val="19"/>
  </w:num>
  <w:num w:numId="10" w16cid:durableId="35356001">
    <w:abstractNumId w:val="18"/>
  </w:num>
  <w:num w:numId="11" w16cid:durableId="1329166722">
    <w:abstractNumId w:val="15"/>
  </w:num>
  <w:num w:numId="12" w16cid:durableId="911309774">
    <w:abstractNumId w:val="24"/>
  </w:num>
  <w:num w:numId="13" w16cid:durableId="1504584941">
    <w:abstractNumId w:val="26"/>
  </w:num>
  <w:num w:numId="14" w16cid:durableId="2024551897">
    <w:abstractNumId w:val="30"/>
  </w:num>
  <w:num w:numId="15" w16cid:durableId="407924642">
    <w:abstractNumId w:val="32"/>
  </w:num>
  <w:num w:numId="16" w16cid:durableId="1212228763">
    <w:abstractNumId w:val="1"/>
  </w:num>
  <w:num w:numId="17" w16cid:durableId="1675719211">
    <w:abstractNumId w:val="6"/>
  </w:num>
  <w:num w:numId="18" w16cid:durableId="2052336043">
    <w:abstractNumId w:val="22"/>
  </w:num>
  <w:num w:numId="19" w16cid:durableId="749426321">
    <w:abstractNumId w:val="12"/>
  </w:num>
  <w:num w:numId="20" w16cid:durableId="1143081512">
    <w:abstractNumId w:val="20"/>
  </w:num>
  <w:num w:numId="21" w16cid:durableId="770979944">
    <w:abstractNumId w:val="9"/>
  </w:num>
  <w:num w:numId="22" w16cid:durableId="2141847849">
    <w:abstractNumId w:val="10"/>
  </w:num>
  <w:num w:numId="23" w16cid:durableId="559633448">
    <w:abstractNumId w:val="16"/>
  </w:num>
  <w:num w:numId="24" w16cid:durableId="393969310">
    <w:abstractNumId w:val="23"/>
  </w:num>
  <w:num w:numId="25" w16cid:durableId="872768495">
    <w:abstractNumId w:val="4"/>
  </w:num>
  <w:num w:numId="26" w16cid:durableId="1806387194">
    <w:abstractNumId w:val="0"/>
  </w:num>
  <w:num w:numId="27" w16cid:durableId="1357998329">
    <w:abstractNumId w:val="25"/>
  </w:num>
  <w:num w:numId="28" w16cid:durableId="1280184118">
    <w:abstractNumId w:val="11"/>
  </w:num>
  <w:num w:numId="29" w16cid:durableId="819033286">
    <w:abstractNumId w:val="3"/>
  </w:num>
  <w:num w:numId="30" w16cid:durableId="500388940">
    <w:abstractNumId w:val="13"/>
  </w:num>
  <w:num w:numId="31" w16cid:durableId="391973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62599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3018946">
    <w:abstractNumId w:val="8"/>
  </w:num>
  <w:num w:numId="34" w16cid:durableId="81633943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0NTU3MjEwt7Q0szRQ0lEKTi0uzszPAykwrwUA0A8xHSwAAAA="/>
  </w:docVars>
  <w:rsids>
    <w:rsidRoot w:val="004D40A6"/>
    <w:rsid w:val="0000173A"/>
    <w:rsid w:val="000030C5"/>
    <w:rsid w:val="00003B1D"/>
    <w:rsid w:val="00007BBC"/>
    <w:rsid w:val="000113B3"/>
    <w:rsid w:val="00015D1D"/>
    <w:rsid w:val="00016919"/>
    <w:rsid w:val="000203D1"/>
    <w:rsid w:val="00022849"/>
    <w:rsid w:val="00022961"/>
    <w:rsid w:val="00030899"/>
    <w:rsid w:val="000326FE"/>
    <w:rsid w:val="0003359A"/>
    <w:rsid w:val="000338F1"/>
    <w:rsid w:val="00036216"/>
    <w:rsid w:val="000375FC"/>
    <w:rsid w:val="0004140D"/>
    <w:rsid w:val="0004684A"/>
    <w:rsid w:val="00046EB5"/>
    <w:rsid w:val="0004775D"/>
    <w:rsid w:val="00051F06"/>
    <w:rsid w:val="000604B6"/>
    <w:rsid w:val="00062C1C"/>
    <w:rsid w:val="00062F59"/>
    <w:rsid w:val="0006304C"/>
    <w:rsid w:val="000661EB"/>
    <w:rsid w:val="000727EF"/>
    <w:rsid w:val="0008050F"/>
    <w:rsid w:val="00085BBF"/>
    <w:rsid w:val="0009375F"/>
    <w:rsid w:val="0009485A"/>
    <w:rsid w:val="00094D14"/>
    <w:rsid w:val="00095832"/>
    <w:rsid w:val="00097921"/>
    <w:rsid w:val="000A405B"/>
    <w:rsid w:val="000A4762"/>
    <w:rsid w:val="000A4FF1"/>
    <w:rsid w:val="000A6260"/>
    <w:rsid w:val="000B6528"/>
    <w:rsid w:val="000B6E86"/>
    <w:rsid w:val="000B772B"/>
    <w:rsid w:val="000C0134"/>
    <w:rsid w:val="000C3040"/>
    <w:rsid w:val="000C4C25"/>
    <w:rsid w:val="000D09E2"/>
    <w:rsid w:val="000D3C5A"/>
    <w:rsid w:val="000D4632"/>
    <w:rsid w:val="000D5D6F"/>
    <w:rsid w:val="000D6A0C"/>
    <w:rsid w:val="000E42A4"/>
    <w:rsid w:val="000E5170"/>
    <w:rsid w:val="000E53C0"/>
    <w:rsid w:val="000E55A5"/>
    <w:rsid w:val="000E5C8F"/>
    <w:rsid w:val="000F21B6"/>
    <w:rsid w:val="000F36F6"/>
    <w:rsid w:val="000F5D04"/>
    <w:rsid w:val="000F69EF"/>
    <w:rsid w:val="000F708F"/>
    <w:rsid w:val="001005BA"/>
    <w:rsid w:val="0010093A"/>
    <w:rsid w:val="00102A29"/>
    <w:rsid w:val="001104D1"/>
    <w:rsid w:val="00113162"/>
    <w:rsid w:val="001144A2"/>
    <w:rsid w:val="00117F33"/>
    <w:rsid w:val="00126C88"/>
    <w:rsid w:val="00127303"/>
    <w:rsid w:val="00127336"/>
    <w:rsid w:val="00130B74"/>
    <w:rsid w:val="001317C6"/>
    <w:rsid w:val="0013216F"/>
    <w:rsid w:val="00134C48"/>
    <w:rsid w:val="00134E61"/>
    <w:rsid w:val="00134FEA"/>
    <w:rsid w:val="001363E6"/>
    <w:rsid w:val="00137798"/>
    <w:rsid w:val="001472FC"/>
    <w:rsid w:val="001504AF"/>
    <w:rsid w:val="001524B8"/>
    <w:rsid w:val="00154DAB"/>
    <w:rsid w:val="00156D71"/>
    <w:rsid w:val="001659A9"/>
    <w:rsid w:val="00174809"/>
    <w:rsid w:val="00175E10"/>
    <w:rsid w:val="00177E6C"/>
    <w:rsid w:val="00181A4E"/>
    <w:rsid w:val="00191C16"/>
    <w:rsid w:val="00192A4B"/>
    <w:rsid w:val="001952A7"/>
    <w:rsid w:val="001958EC"/>
    <w:rsid w:val="001974DD"/>
    <w:rsid w:val="001A0AEA"/>
    <w:rsid w:val="001A2C97"/>
    <w:rsid w:val="001A57E5"/>
    <w:rsid w:val="001A6594"/>
    <w:rsid w:val="001A699B"/>
    <w:rsid w:val="001B016A"/>
    <w:rsid w:val="001B187A"/>
    <w:rsid w:val="001B2BC0"/>
    <w:rsid w:val="001B52CF"/>
    <w:rsid w:val="001C071C"/>
    <w:rsid w:val="001C0B0E"/>
    <w:rsid w:val="001C4418"/>
    <w:rsid w:val="001C4DA0"/>
    <w:rsid w:val="001C7F6B"/>
    <w:rsid w:val="001D24C8"/>
    <w:rsid w:val="001D260C"/>
    <w:rsid w:val="001D5788"/>
    <w:rsid w:val="001E38B0"/>
    <w:rsid w:val="001E4A53"/>
    <w:rsid w:val="001F2456"/>
    <w:rsid w:val="001F35F8"/>
    <w:rsid w:val="001F4141"/>
    <w:rsid w:val="001F61A6"/>
    <w:rsid w:val="002010CD"/>
    <w:rsid w:val="00201AC6"/>
    <w:rsid w:val="002051AA"/>
    <w:rsid w:val="00207997"/>
    <w:rsid w:val="00215054"/>
    <w:rsid w:val="00220383"/>
    <w:rsid w:val="00223672"/>
    <w:rsid w:val="002255A1"/>
    <w:rsid w:val="00230B01"/>
    <w:rsid w:val="00235D89"/>
    <w:rsid w:val="00237049"/>
    <w:rsid w:val="0023704B"/>
    <w:rsid w:val="00241C5F"/>
    <w:rsid w:val="00245049"/>
    <w:rsid w:val="002462CC"/>
    <w:rsid w:val="0025276B"/>
    <w:rsid w:val="0025375E"/>
    <w:rsid w:val="0025392B"/>
    <w:rsid w:val="002556D1"/>
    <w:rsid w:val="00256C06"/>
    <w:rsid w:val="0025764F"/>
    <w:rsid w:val="002636C9"/>
    <w:rsid w:val="00272B50"/>
    <w:rsid w:val="00273ADF"/>
    <w:rsid w:val="00275CC8"/>
    <w:rsid w:val="00275EBF"/>
    <w:rsid w:val="002804F6"/>
    <w:rsid w:val="00283567"/>
    <w:rsid w:val="00286014"/>
    <w:rsid w:val="00292AB4"/>
    <w:rsid w:val="00294877"/>
    <w:rsid w:val="0029539B"/>
    <w:rsid w:val="00295931"/>
    <w:rsid w:val="002976F5"/>
    <w:rsid w:val="002A0DBE"/>
    <w:rsid w:val="002A21E9"/>
    <w:rsid w:val="002A2A47"/>
    <w:rsid w:val="002A43AB"/>
    <w:rsid w:val="002A7254"/>
    <w:rsid w:val="002B060A"/>
    <w:rsid w:val="002B2D6E"/>
    <w:rsid w:val="002C05BA"/>
    <w:rsid w:val="002C1DAA"/>
    <w:rsid w:val="002C5ED2"/>
    <w:rsid w:val="002C76B1"/>
    <w:rsid w:val="002D5439"/>
    <w:rsid w:val="002D6C40"/>
    <w:rsid w:val="002D6ED2"/>
    <w:rsid w:val="002E66BA"/>
    <w:rsid w:val="002F0387"/>
    <w:rsid w:val="002F2027"/>
    <w:rsid w:val="002F2D98"/>
    <w:rsid w:val="002F3D3B"/>
    <w:rsid w:val="002F5835"/>
    <w:rsid w:val="002F70D1"/>
    <w:rsid w:val="003012AC"/>
    <w:rsid w:val="003050BF"/>
    <w:rsid w:val="0030537B"/>
    <w:rsid w:val="003065E8"/>
    <w:rsid w:val="00310187"/>
    <w:rsid w:val="00310791"/>
    <w:rsid w:val="0032168B"/>
    <w:rsid w:val="00333880"/>
    <w:rsid w:val="00333AF7"/>
    <w:rsid w:val="00336A4E"/>
    <w:rsid w:val="00341200"/>
    <w:rsid w:val="00346282"/>
    <w:rsid w:val="00346542"/>
    <w:rsid w:val="00350F9C"/>
    <w:rsid w:val="00353BB1"/>
    <w:rsid w:val="00360DDD"/>
    <w:rsid w:val="003621D8"/>
    <w:rsid w:val="00366143"/>
    <w:rsid w:val="00370ACF"/>
    <w:rsid w:val="0037568C"/>
    <w:rsid w:val="00375C59"/>
    <w:rsid w:val="00375FBC"/>
    <w:rsid w:val="00377DAA"/>
    <w:rsid w:val="00381C11"/>
    <w:rsid w:val="0038559B"/>
    <w:rsid w:val="00390959"/>
    <w:rsid w:val="0039122C"/>
    <w:rsid w:val="003959F7"/>
    <w:rsid w:val="00395B17"/>
    <w:rsid w:val="003A6749"/>
    <w:rsid w:val="003A769A"/>
    <w:rsid w:val="003A7858"/>
    <w:rsid w:val="003A7BA2"/>
    <w:rsid w:val="003A7D2F"/>
    <w:rsid w:val="003B1442"/>
    <w:rsid w:val="003B185A"/>
    <w:rsid w:val="003B6AD4"/>
    <w:rsid w:val="003C066E"/>
    <w:rsid w:val="003C0AFC"/>
    <w:rsid w:val="003C4299"/>
    <w:rsid w:val="003C76D8"/>
    <w:rsid w:val="003D14FD"/>
    <w:rsid w:val="003D21D3"/>
    <w:rsid w:val="003D2558"/>
    <w:rsid w:val="003D2721"/>
    <w:rsid w:val="003D3CD0"/>
    <w:rsid w:val="003D5FFB"/>
    <w:rsid w:val="003E0514"/>
    <w:rsid w:val="003E0ECB"/>
    <w:rsid w:val="003E2E1A"/>
    <w:rsid w:val="003E32D2"/>
    <w:rsid w:val="003E40CE"/>
    <w:rsid w:val="003E4EC3"/>
    <w:rsid w:val="003E7960"/>
    <w:rsid w:val="003E7E93"/>
    <w:rsid w:val="003F149E"/>
    <w:rsid w:val="003F28AA"/>
    <w:rsid w:val="003F3413"/>
    <w:rsid w:val="003F719D"/>
    <w:rsid w:val="0040145C"/>
    <w:rsid w:val="00402A1E"/>
    <w:rsid w:val="00403051"/>
    <w:rsid w:val="00405510"/>
    <w:rsid w:val="004072FD"/>
    <w:rsid w:val="00411654"/>
    <w:rsid w:val="00412BE4"/>
    <w:rsid w:val="00412F46"/>
    <w:rsid w:val="00413B07"/>
    <w:rsid w:val="0041532A"/>
    <w:rsid w:val="00416BC9"/>
    <w:rsid w:val="00416FFA"/>
    <w:rsid w:val="00417542"/>
    <w:rsid w:val="00417F19"/>
    <w:rsid w:val="0042131E"/>
    <w:rsid w:val="00422B9F"/>
    <w:rsid w:val="00426A09"/>
    <w:rsid w:val="004308B6"/>
    <w:rsid w:val="00431720"/>
    <w:rsid w:val="0043493B"/>
    <w:rsid w:val="00437533"/>
    <w:rsid w:val="00440165"/>
    <w:rsid w:val="00440CD4"/>
    <w:rsid w:val="00442D16"/>
    <w:rsid w:val="004442A4"/>
    <w:rsid w:val="00447B06"/>
    <w:rsid w:val="0045063D"/>
    <w:rsid w:val="00461BA8"/>
    <w:rsid w:val="004653B7"/>
    <w:rsid w:val="00470099"/>
    <w:rsid w:val="00485052"/>
    <w:rsid w:val="004854D4"/>
    <w:rsid w:val="00485C66"/>
    <w:rsid w:val="0049201C"/>
    <w:rsid w:val="004960B4"/>
    <w:rsid w:val="004B436D"/>
    <w:rsid w:val="004B495B"/>
    <w:rsid w:val="004B4D28"/>
    <w:rsid w:val="004B50F8"/>
    <w:rsid w:val="004B58D3"/>
    <w:rsid w:val="004B5A5A"/>
    <w:rsid w:val="004B5AFC"/>
    <w:rsid w:val="004C05F3"/>
    <w:rsid w:val="004C08A1"/>
    <w:rsid w:val="004C2839"/>
    <w:rsid w:val="004C40EA"/>
    <w:rsid w:val="004C52EC"/>
    <w:rsid w:val="004D1837"/>
    <w:rsid w:val="004D40A6"/>
    <w:rsid w:val="004D4685"/>
    <w:rsid w:val="004D5212"/>
    <w:rsid w:val="004F0A10"/>
    <w:rsid w:val="004F441E"/>
    <w:rsid w:val="00504030"/>
    <w:rsid w:val="0050792C"/>
    <w:rsid w:val="00507A17"/>
    <w:rsid w:val="0051263B"/>
    <w:rsid w:val="00515470"/>
    <w:rsid w:val="005217E9"/>
    <w:rsid w:val="0052600F"/>
    <w:rsid w:val="00531835"/>
    <w:rsid w:val="005318E2"/>
    <w:rsid w:val="00534115"/>
    <w:rsid w:val="0053620B"/>
    <w:rsid w:val="00540769"/>
    <w:rsid w:val="00541596"/>
    <w:rsid w:val="0055313F"/>
    <w:rsid w:val="005563A8"/>
    <w:rsid w:val="00556E36"/>
    <w:rsid w:val="00557AC4"/>
    <w:rsid w:val="00562893"/>
    <w:rsid w:val="005660F5"/>
    <w:rsid w:val="0056662E"/>
    <w:rsid w:val="00567EDB"/>
    <w:rsid w:val="00573A2C"/>
    <w:rsid w:val="005775BE"/>
    <w:rsid w:val="005803C0"/>
    <w:rsid w:val="00581A40"/>
    <w:rsid w:val="00582282"/>
    <w:rsid w:val="00583176"/>
    <w:rsid w:val="00583627"/>
    <w:rsid w:val="005837AC"/>
    <w:rsid w:val="00583F2D"/>
    <w:rsid w:val="00586979"/>
    <w:rsid w:val="00587B40"/>
    <w:rsid w:val="0059031B"/>
    <w:rsid w:val="005908D8"/>
    <w:rsid w:val="005923EC"/>
    <w:rsid w:val="005964BD"/>
    <w:rsid w:val="00596BAA"/>
    <w:rsid w:val="005A0B70"/>
    <w:rsid w:val="005A1EAD"/>
    <w:rsid w:val="005A2B1A"/>
    <w:rsid w:val="005A3B2E"/>
    <w:rsid w:val="005A4E55"/>
    <w:rsid w:val="005A606C"/>
    <w:rsid w:val="005A61FB"/>
    <w:rsid w:val="005B03FB"/>
    <w:rsid w:val="005B2A23"/>
    <w:rsid w:val="005B2B29"/>
    <w:rsid w:val="005B3441"/>
    <w:rsid w:val="005B6F32"/>
    <w:rsid w:val="005B78C2"/>
    <w:rsid w:val="005C15D4"/>
    <w:rsid w:val="005C24C8"/>
    <w:rsid w:val="005C2D30"/>
    <w:rsid w:val="005D1E80"/>
    <w:rsid w:val="005D5C8C"/>
    <w:rsid w:val="005D6225"/>
    <w:rsid w:val="005E1A6A"/>
    <w:rsid w:val="005E3194"/>
    <w:rsid w:val="005E4F2C"/>
    <w:rsid w:val="005E6988"/>
    <w:rsid w:val="00601A88"/>
    <w:rsid w:val="0060540C"/>
    <w:rsid w:val="006054B6"/>
    <w:rsid w:val="0060607A"/>
    <w:rsid w:val="00616821"/>
    <w:rsid w:val="0062422F"/>
    <w:rsid w:val="00630586"/>
    <w:rsid w:val="0063347B"/>
    <w:rsid w:val="00635B89"/>
    <w:rsid w:val="0064000B"/>
    <w:rsid w:val="00640348"/>
    <w:rsid w:val="00650D27"/>
    <w:rsid w:val="006549B4"/>
    <w:rsid w:val="0065501B"/>
    <w:rsid w:val="00661A8B"/>
    <w:rsid w:val="006622F3"/>
    <w:rsid w:val="006625FA"/>
    <w:rsid w:val="00662AE1"/>
    <w:rsid w:val="006648F9"/>
    <w:rsid w:val="006665C0"/>
    <w:rsid w:val="006709AF"/>
    <w:rsid w:val="0067126D"/>
    <w:rsid w:val="006719F4"/>
    <w:rsid w:val="0067537A"/>
    <w:rsid w:val="00681927"/>
    <w:rsid w:val="00684FEE"/>
    <w:rsid w:val="00686684"/>
    <w:rsid w:val="006869E9"/>
    <w:rsid w:val="00686F9F"/>
    <w:rsid w:val="0068799C"/>
    <w:rsid w:val="006A29DE"/>
    <w:rsid w:val="006A4099"/>
    <w:rsid w:val="006A75D3"/>
    <w:rsid w:val="006B3B80"/>
    <w:rsid w:val="006B46A9"/>
    <w:rsid w:val="006C04A3"/>
    <w:rsid w:val="006C057F"/>
    <w:rsid w:val="006C0DD4"/>
    <w:rsid w:val="006C2CDC"/>
    <w:rsid w:val="006C4628"/>
    <w:rsid w:val="006C46CD"/>
    <w:rsid w:val="006C4CF9"/>
    <w:rsid w:val="006C7DD0"/>
    <w:rsid w:val="006D3F32"/>
    <w:rsid w:val="006D72F2"/>
    <w:rsid w:val="006E02FF"/>
    <w:rsid w:val="006E0D64"/>
    <w:rsid w:val="006E62FF"/>
    <w:rsid w:val="006E6F29"/>
    <w:rsid w:val="006E7B36"/>
    <w:rsid w:val="006F1D7D"/>
    <w:rsid w:val="006F35E2"/>
    <w:rsid w:val="00701472"/>
    <w:rsid w:val="007036FE"/>
    <w:rsid w:val="00705336"/>
    <w:rsid w:val="00712513"/>
    <w:rsid w:val="00713E62"/>
    <w:rsid w:val="00714498"/>
    <w:rsid w:val="007208E8"/>
    <w:rsid w:val="00722505"/>
    <w:rsid w:val="00723B39"/>
    <w:rsid w:val="00741A52"/>
    <w:rsid w:val="00743A52"/>
    <w:rsid w:val="00744541"/>
    <w:rsid w:val="00745574"/>
    <w:rsid w:val="00750385"/>
    <w:rsid w:val="00751C5C"/>
    <w:rsid w:val="00752391"/>
    <w:rsid w:val="007542BE"/>
    <w:rsid w:val="00754C08"/>
    <w:rsid w:val="007579FB"/>
    <w:rsid w:val="007628C4"/>
    <w:rsid w:val="00766EC2"/>
    <w:rsid w:val="00770604"/>
    <w:rsid w:val="00772BA2"/>
    <w:rsid w:val="00774524"/>
    <w:rsid w:val="00774914"/>
    <w:rsid w:val="00775B7E"/>
    <w:rsid w:val="00780091"/>
    <w:rsid w:val="00780ADF"/>
    <w:rsid w:val="00781260"/>
    <w:rsid w:val="0078383D"/>
    <w:rsid w:val="007843CA"/>
    <w:rsid w:val="00785E2A"/>
    <w:rsid w:val="007872CE"/>
    <w:rsid w:val="00790B1A"/>
    <w:rsid w:val="007936DD"/>
    <w:rsid w:val="00794600"/>
    <w:rsid w:val="00794C17"/>
    <w:rsid w:val="00796264"/>
    <w:rsid w:val="0079782E"/>
    <w:rsid w:val="007A1107"/>
    <w:rsid w:val="007A215C"/>
    <w:rsid w:val="007A289D"/>
    <w:rsid w:val="007A4C0A"/>
    <w:rsid w:val="007A7145"/>
    <w:rsid w:val="007B07C4"/>
    <w:rsid w:val="007B7C3F"/>
    <w:rsid w:val="007C01CC"/>
    <w:rsid w:val="007C1179"/>
    <w:rsid w:val="007C442F"/>
    <w:rsid w:val="007C57E9"/>
    <w:rsid w:val="007C58AA"/>
    <w:rsid w:val="007C6C69"/>
    <w:rsid w:val="007D102F"/>
    <w:rsid w:val="007D10D1"/>
    <w:rsid w:val="007D5C41"/>
    <w:rsid w:val="007D7B6C"/>
    <w:rsid w:val="007E144B"/>
    <w:rsid w:val="007E1737"/>
    <w:rsid w:val="007E1F63"/>
    <w:rsid w:val="007E4B34"/>
    <w:rsid w:val="007E618F"/>
    <w:rsid w:val="007E72CE"/>
    <w:rsid w:val="007F36F6"/>
    <w:rsid w:val="007F530A"/>
    <w:rsid w:val="007F6E4B"/>
    <w:rsid w:val="008003DE"/>
    <w:rsid w:val="00801BA6"/>
    <w:rsid w:val="00803993"/>
    <w:rsid w:val="00805784"/>
    <w:rsid w:val="008069FF"/>
    <w:rsid w:val="00810141"/>
    <w:rsid w:val="008101D5"/>
    <w:rsid w:val="00811FC7"/>
    <w:rsid w:val="0081489C"/>
    <w:rsid w:val="00814B59"/>
    <w:rsid w:val="00826621"/>
    <w:rsid w:val="00826788"/>
    <w:rsid w:val="008317AE"/>
    <w:rsid w:val="00834286"/>
    <w:rsid w:val="0083538F"/>
    <w:rsid w:val="008432D7"/>
    <w:rsid w:val="00844D54"/>
    <w:rsid w:val="008473A9"/>
    <w:rsid w:val="0085232F"/>
    <w:rsid w:val="008537F1"/>
    <w:rsid w:val="008566D9"/>
    <w:rsid w:val="00856B68"/>
    <w:rsid w:val="00856BA7"/>
    <w:rsid w:val="008572F3"/>
    <w:rsid w:val="00861EDF"/>
    <w:rsid w:val="00862577"/>
    <w:rsid w:val="0086347C"/>
    <w:rsid w:val="00864E60"/>
    <w:rsid w:val="00867AFF"/>
    <w:rsid w:val="00873D8A"/>
    <w:rsid w:val="00880F66"/>
    <w:rsid w:val="00882E20"/>
    <w:rsid w:val="00883441"/>
    <w:rsid w:val="00885C94"/>
    <w:rsid w:val="00887A50"/>
    <w:rsid w:val="00887E3C"/>
    <w:rsid w:val="00893D62"/>
    <w:rsid w:val="008948C9"/>
    <w:rsid w:val="008969D1"/>
    <w:rsid w:val="008977DB"/>
    <w:rsid w:val="008A11EF"/>
    <w:rsid w:val="008A1945"/>
    <w:rsid w:val="008A1BC0"/>
    <w:rsid w:val="008A2278"/>
    <w:rsid w:val="008A325E"/>
    <w:rsid w:val="008A3CB1"/>
    <w:rsid w:val="008A63E5"/>
    <w:rsid w:val="008B6C34"/>
    <w:rsid w:val="008C141C"/>
    <w:rsid w:val="008C2E8C"/>
    <w:rsid w:val="008C34B3"/>
    <w:rsid w:val="008C3592"/>
    <w:rsid w:val="008C6B01"/>
    <w:rsid w:val="008C75C8"/>
    <w:rsid w:val="008D135A"/>
    <w:rsid w:val="008D2E39"/>
    <w:rsid w:val="008D3E6E"/>
    <w:rsid w:val="008E0907"/>
    <w:rsid w:val="008F1C8D"/>
    <w:rsid w:val="008F3C1B"/>
    <w:rsid w:val="008F3CAF"/>
    <w:rsid w:val="008F7A99"/>
    <w:rsid w:val="009009FD"/>
    <w:rsid w:val="00902EE8"/>
    <w:rsid w:val="00902F90"/>
    <w:rsid w:val="009032F4"/>
    <w:rsid w:val="00903849"/>
    <w:rsid w:val="00904E27"/>
    <w:rsid w:val="0091002E"/>
    <w:rsid w:val="00910562"/>
    <w:rsid w:val="009157E9"/>
    <w:rsid w:val="00916786"/>
    <w:rsid w:val="00920A2D"/>
    <w:rsid w:val="00923D61"/>
    <w:rsid w:val="00927B56"/>
    <w:rsid w:val="009303EC"/>
    <w:rsid w:val="00931DBB"/>
    <w:rsid w:val="00932C85"/>
    <w:rsid w:val="009336CF"/>
    <w:rsid w:val="00934564"/>
    <w:rsid w:val="0093491C"/>
    <w:rsid w:val="009363BD"/>
    <w:rsid w:val="00940106"/>
    <w:rsid w:val="009439CA"/>
    <w:rsid w:val="009470C7"/>
    <w:rsid w:val="00947A2B"/>
    <w:rsid w:val="00950B74"/>
    <w:rsid w:val="0095148A"/>
    <w:rsid w:val="00951588"/>
    <w:rsid w:val="00951E33"/>
    <w:rsid w:val="00953BEA"/>
    <w:rsid w:val="00954D80"/>
    <w:rsid w:val="00960E86"/>
    <w:rsid w:val="009617F3"/>
    <w:rsid w:val="00961D37"/>
    <w:rsid w:val="009647D6"/>
    <w:rsid w:val="00966A46"/>
    <w:rsid w:val="00966B91"/>
    <w:rsid w:val="0096776D"/>
    <w:rsid w:val="009722DF"/>
    <w:rsid w:val="009810B6"/>
    <w:rsid w:val="00984523"/>
    <w:rsid w:val="00984E1A"/>
    <w:rsid w:val="00985132"/>
    <w:rsid w:val="00985EB6"/>
    <w:rsid w:val="00986CFF"/>
    <w:rsid w:val="00990D75"/>
    <w:rsid w:val="009A0C41"/>
    <w:rsid w:val="009A16D6"/>
    <w:rsid w:val="009A3AFA"/>
    <w:rsid w:val="009B351D"/>
    <w:rsid w:val="009B559C"/>
    <w:rsid w:val="009B6D64"/>
    <w:rsid w:val="009C3EA4"/>
    <w:rsid w:val="009C6E8A"/>
    <w:rsid w:val="009D025A"/>
    <w:rsid w:val="009D1C0C"/>
    <w:rsid w:val="009D2FB3"/>
    <w:rsid w:val="009D441E"/>
    <w:rsid w:val="009D630D"/>
    <w:rsid w:val="009D6D24"/>
    <w:rsid w:val="009D7A12"/>
    <w:rsid w:val="009E12BF"/>
    <w:rsid w:val="009E1F68"/>
    <w:rsid w:val="009E3B2C"/>
    <w:rsid w:val="009F2CB6"/>
    <w:rsid w:val="009F4B64"/>
    <w:rsid w:val="009F63AD"/>
    <w:rsid w:val="00A02D7F"/>
    <w:rsid w:val="00A05B9F"/>
    <w:rsid w:val="00A0678D"/>
    <w:rsid w:val="00A105CF"/>
    <w:rsid w:val="00A244E5"/>
    <w:rsid w:val="00A25AF1"/>
    <w:rsid w:val="00A2786E"/>
    <w:rsid w:val="00A30384"/>
    <w:rsid w:val="00A36235"/>
    <w:rsid w:val="00A432E4"/>
    <w:rsid w:val="00A4367B"/>
    <w:rsid w:val="00A4379F"/>
    <w:rsid w:val="00A44E1B"/>
    <w:rsid w:val="00A460A5"/>
    <w:rsid w:val="00A50C4C"/>
    <w:rsid w:val="00A5205D"/>
    <w:rsid w:val="00A5625B"/>
    <w:rsid w:val="00A575A2"/>
    <w:rsid w:val="00A629C6"/>
    <w:rsid w:val="00A6389A"/>
    <w:rsid w:val="00A63B4D"/>
    <w:rsid w:val="00A6440E"/>
    <w:rsid w:val="00A646E0"/>
    <w:rsid w:val="00A649CA"/>
    <w:rsid w:val="00A65219"/>
    <w:rsid w:val="00A678C7"/>
    <w:rsid w:val="00A70547"/>
    <w:rsid w:val="00A708A1"/>
    <w:rsid w:val="00A71F69"/>
    <w:rsid w:val="00A7278C"/>
    <w:rsid w:val="00A73D5E"/>
    <w:rsid w:val="00A757CD"/>
    <w:rsid w:val="00A83AD4"/>
    <w:rsid w:val="00A87C7C"/>
    <w:rsid w:val="00A92419"/>
    <w:rsid w:val="00A924EF"/>
    <w:rsid w:val="00A9313F"/>
    <w:rsid w:val="00A9505B"/>
    <w:rsid w:val="00AA0831"/>
    <w:rsid w:val="00AA1CF7"/>
    <w:rsid w:val="00AA6B3E"/>
    <w:rsid w:val="00AA7350"/>
    <w:rsid w:val="00AB2327"/>
    <w:rsid w:val="00AB279A"/>
    <w:rsid w:val="00AB530F"/>
    <w:rsid w:val="00AC3445"/>
    <w:rsid w:val="00AC3558"/>
    <w:rsid w:val="00AC54FB"/>
    <w:rsid w:val="00AC77A0"/>
    <w:rsid w:val="00AD2CFB"/>
    <w:rsid w:val="00AD425D"/>
    <w:rsid w:val="00AD4433"/>
    <w:rsid w:val="00AD47FE"/>
    <w:rsid w:val="00AD5D44"/>
    <w:rsid w:val="00AD667F"/>
    <w:rsid w:val="00AF1DED"/>
    <w:rsid w:val="00AF2082"/>
    <w:rsid w:val="00AF3D3D"/>
    <w:rsid w:val="00AF3D5A"/>
    <w:rsid w:val="00AF7C22"/>
    <w:rsid w:val="00B0029A"/>
    <w:rsid w:val="00B002C1"/>
    <w:rsid w:val="00B00E22"/>
    <w:rsid w:val="00B0144D"/>
    <w:rsid w:val="00B01C90"/>
    <w:rsid w:val="00B02538"/>
    <w:rsid w:val="00B039CE"/>
    <w:rsid w:val="00B066A0"/>
    <w:rsid w:val="00B07239"/>
    <w:rsid w:val="00B07935"/>
    <w:rsid w:val="00B079EC"/>
    <w:rsid w:val="00B11388"/>
    <w:rsid w:val="00B13EC7"/>
    <w:rsid w:val="00B215CB"/>
    <w:rsid w:val="00B226CD"/>
    <w:rsid w:val="00B2662A"/>
    <w:rsid w:val="00B26757"/>
    <w:rsid w:val="00B307DE"/>
    <w:rsid w:val="00B31EAF"/>
    <w:rsid w:val="00B32594"/>
    <w:rsid w:val="00B3595D"/>
    <w:rsid w:val="00B36949"/>
    <w:rsid w:val="00B37294"/>
    <w:rsid w:val="00B4094C"/>
    <w:rsid w:val="00B40D5F"/>
    <w:rsid w:val="00B44C4F"/>
    <w:rsid w:val="00B52213"/>
    <w:rsid w:val="00B53CF8"/>
    <w:rsid w:val="00B5449F"/>
    <w:rsid w:val="00B549F5"/>
    <w:rsid w:val="00B550F0"/>
    <w:rsid w:val="00B5744E"/>
    <w:rsid w:val="00B64BAB"/>
    <w:rsid w:val="00B67D20"/>
    <w:rsid w:val="00B71EBA"/>
    <w:rsid w:val="00B72D94"/>
    <w:rsid w:val="00B7387E"/>
    <w:rsid w:val="00B76674"/>
    <w:rsid w:val="00B83194"/>
    <w:rsid w:val="00B90CA6"/>
    <w:rsid w:val="00B91D3D"/>
    <w:rsid w:val="00B9286E"/>
    <w:rsid w:val="00BB11F2"/>
    <w:rsid w:val="00BB1AD6"/>
    <w:rsid w:val="00BB63EE"/>
    <w:rsid w:val="00BB773F"/>
    <w:rsid w:val="00BC695B"/>
    <w:rsid w:val="00BD11A3"/>
    <w:rsid w:val="00BD53A5"/>
    <w:rsid w:val="00BE390B"/>
    <w:rsid w:val="00BF4BEF"/>
    <w:rsid w:val="00BF6BD5"/>
    <w:rsid w:val="00C034BB"/>
    <w:rsid w:val="00C1075C"/>
    <w:rsid w:val="00C109C1"/>
    <w:rsid w:val="00C13054"/>
    <w:rsid w:val="00C141CF"/>
    <w:rsid w:val="00C14F46"/>
    <w:rsid w:val="00C20539"/>
    <w:rsid w:val="00C2128E"/>
    <w:rsid w:val="00C217FE"/>
    <w:rsid w:val="00C23160"/>
    <w:rsid w:val="00C2529A"/>
    <w:rsid w:val="00C27A0E"/>
    <w:rsid w:val="00C31123"/>
    <w:rsid w:val="00C315D6"/>
    <w:rsid w:val="00C32C98"/>
    <w:rsid w:val="00C32E4D"/>
    <w:rsid w:val="00C3424D"/>
    <w:rsid w:val="00C434A0"/>
    <w:rsid w:val="00C45E7A"/>
    <w:rsid w:val="00C465FD"/>
    <w:rsid w:val="00C51979"/>
    <w:rsid w:val="00C52E9B"/>
    <w:rsid w:val="00C559F6"/>
    <w:rsid w:val="00C574BB"/>
    <w:rsid w:val="00C57B11"/>
    <w:rsid w:val="00C60A9D"/>
    <w:rsid w:val="00C64488"/>
    <w:rsid w:val="00C6472D"/>
    <w:rsid w:val="00C702B8"/>
    <w:rsid w:val="00C726D6"/>
    <w:rsid w:val="00C73578"/>
    <w:rsid w:val="00C800B7"/>
    <w:rsid w:val="00C80B5F"/>
    <w:rsid w:val="00C816AD"/>
    <w:rsid w:val="00C819B8"/>
    <w:rsid w:val="00C82AE3"/>
    <w:rsid w:val="00C82C31"/>
    <w:rsid w:val="00C835F6"/>
    <w:rsid w:val="00C91BFB"/>
    <w:rsid w:val="00C92197"/>
    <w:rsid w:val="00C950B6"/>
    <w:rsid w:val="00C961A6"/>
    <w:rsid w:val="00CB0D80"/>
    <w:rsid w:val="00CB3A45"/>
    <w:rsid w:val="00CB3AAC"/>
    <w:rsid w:val="00CC0354"/>
    <w:rsid w:val="00CC1086"/>
    <w:rsid w:val="00CC1F4D"/>
    <w:rsid w:val="00CC5415"/>
    <w:rsid w:val="00CC670D"/>
    <w:rsid w:val="00CD4EFE"/>
    <w:rsid w:val="00CD6004"/>
    <w:rsid w:val="00CE0220"/>
    <w:rsid w:val="00CE57A7"/>
    <w:rsid w:val="00CE6BC0"/>
    <w:rsid w:val="00CE7687"/>
    <w:rsid w:val="00CF00F9"/>
    <w:rsid w:val="00CF234D"/>
    <w:rsid w:val="00CF267F"/>
    <w:rsid w:val="00CF3800"/>
    <w:rsid w:val="00CF4F5F"/>
    <w:rsid w:val="00CF63AA"/>
    <w:rsid w:val="00CF7322"/>
    <w:rsid w:val="00D101E4"/>
    <w:rsid w:val="00D120A8"/>
    <w:rsid w:val="00D12558"/>
    <w:rsid w:val="00D135D2"/>
    <w:rsid w:val="00D1491D"/>
    <w:rsid w:val="00D1491F"/>
    <w:rsid w:val="00D1627E"/>
    <w:rsid w:val="00D1703B"/>
    <w:rsid w:val="00D2705E"/>
    <w:rsid w:val="00D27922"/>
    <w:rsid w:val="00D3057E"/>
    <w:rsid w:val="00D32E5A"/>
    <w:rsid w:val="00D4095C"/>
    <w:rsid w:val="00D4348E"/>
    <w:rsid w:val="00D46313"/>
    <w:rsid w:val="00D47566"/>
    <w:rsid w:val="00D4791F"/>
    <w:rsid w:val="00D50ACD"/>
    <w:rsid w:val="00D54910"/>
    <w:rsid w:val="00D55B15"/>
    <w:rsid w:val="00D62ABD"/>
    <w:rsid w:val="00D630F6"/>
    <w:rsid w:val="00D63617"/>
    <w:rsid w:val="00D66C24"/>
    <w:rsid w:val="00D72F1A"/>
    <w:rsid w:val="00D730EF"/>
    <w:rsid w:val="00D75A19"/>
    <w:rsid w:val="00D778F6"/>
    <w:rsid w:val="00D80687"/>
    <w:rsid w:val="00D81DE0"/>
    <w:rsid w:val="00D84788"/>
    <w:rsid w:val="00D84803"/>
    <w:rsid w:val="00D87D97"/>
    <w:rsid w:val="00D9148B"/>
    <w:rsid w:val="00DA60AB"/>
    <w:rsid w:val="00DB0653"/>
    <w:rsid w:val="00DB18FA"/>
    <w:rsid w:val="00DB2292"/>
    <w:rsid w:val="00DB28FF"/>
    <w:rsid w:val="00DB33F9"/>
    <w:rsid w:val="00DB7142"/>
    <w:rsid w:val="00DB77C7"/>
    <w:rsid w:val="00DB7F57"/>
    <w:rsid w:val="00DC082C"/>
    <w:rsid w:val="00DC32DD"/>
    <w:rsid w:val="00DC7AFF"/>
    <w:rsid w:val="00DD01D3"/>
    <w:rsid w:val="00DD3FFD"/>
    <w:rsid w:val="00DD769F"/>
    <w:rsid w:val="00DE0813"/>
    <w:rsid w:val="00DE2362"/>
    <w:rsid w:val="00DE2FA9"/>
    <w:rsid w:val="00DE39FB"/>
    <w:rsid w:val="00DF0BE5"/>
    <w:rsid w:val="00DF1389"/>
    <w:rsid w:val="00DF6066"/>
    <w:rsid w:val="00DF630B"/>
    <w:rsid w:val="00E06DFE"/>
    <w:rsid w:val="00E07BAE"/>
    <w:rsid w:val="00E10255"/>
    <w:rsid w:val="00E12D0E"/>
    <w:rsid w:val="00E13741"/>
    <w:rsid w:val="00E166C9"/>
    <w:rsid w:val="00E20354"/>
    <w:rsid w:val="00E22FA2"/>
    <w:rsid w:val="00E23DBD"/>
    <w:rsid w:val="00E23E9E"/>
    <w:rsid w:val="00E25276"/>
    <w:rsid w:val="00E31016"/>
    <w:rsid w:val="00E31AC3"/>
    <w:rsid w:val="00E32408"/>
    <w:rsid w:val="00E3636D"/>
    <w:rsid w:val="00E4482E"/>
    <w:rsid w:val="00E4576A"/>
    <w:rsid w:val="00E461B2"/>
    <w:rsid w:val="00E51F57"/>
    <w:rsid w:val="00E52236"/>
    <w:rsid w:val="00E545D3"/>
    <w:rsid w:val="00E5564F"/>
    <w:rsid w:val="00E569B8"/>
    <w:rsid w:val="00E5704F"/>
    <w:rsid w:val="00E57091"/>
    <w:rsid w:val="00E57187"/>
    <w:rsid w:val="00E573C6"/>
    <w:rsid w:val="00E573F9"/>
    <w:rsid w:val="00E61042"/>
    <w:rsid w:val="00E61291"/>
    <w:rsid w:val="00E73773"/>
    <w:rsid w:val="00E8231B"/>
    <w:rsid w:val="00E82C1E"/>
    <w:rsid w:val="00E842E7"/>
    <w:rsid w:val="00E85161"/>
    <w:rsid w:val="00E8692C"/>
    <w:rsid w:val="00E86941"/>
    <w:rsid w:val="00E9024E"/>
    <w:rsid w:val="00E91279"/>
    <w:rsid w:val="00E91E1E"/>
    <w:rsid w:val="00E96F21"/>
    <w:rsid w:val="00E97246"/>
    <w:rsid w:val="00EA0A05"/>
    <w:rsid w:val="00EA2AD7"/>
    <w:rsid w:val="00EA2C90"/>
    <w:rsid w:val="00EA4E53"/>
    <w:rsid w:val="00EA5EC5"/>
    <w:rsid w:val="00EA5EEC"/>
    <w:rsid w:val="00EA721C"/>
    <w:rsid w:val="00EB048B"/>
    <w:rsid w:val="00EB25E1"/>
    <w:rsid w:val="00EB3D5D"/>
    <w:rsid w:val="00EB6DED"/>
    <w:rsid w:val="00EC0AF2"/>
    <w:rsid w:val="00EC1DDC"/>
    <w:rsid w:val="00EC569F"/>
    <w:rsid w:val="00EC7342"/>
    <w:rsid w:val="00ED71A1"/>
    <w:rsid w:val="00EE00A5"/>
    <w:rsid w:val="00EE0AC5"/>
    <w:rsid w:val="00EE1D29"/>
    <w:rsid w:val="00EE2CC2"/>
    <w:rsid w:val="00EE3510"/>
    <w:rsid w:val="00EF1F43"/>
    <w:rsid w:val="00EF7166"/>
    <w:rsid w:val="00F01A3D"/>
    <w:rsid w:val="00F06399"/>
    <w:rsid w:val="00F10216"/>
    <w:rsid w:val="00F1146E"/>
    <w:rsid w:val="00F12648"/>
    <w:rsid w:val="00F1487F"/>
    <w:rsid w:val="00F1489E"/>
    <w:rsid w:val="00F171F3"/>
    <w:rsid w:val="00F22609"/>
    <w:rsid w:val="00F22979"/>
    <w:rsid w:val="00F24471"/>
    <w:rsid w:val="00F24CEF"/>
    <w:rsid w:val="00F25BD1"/>
    <w:rsid w:val="00F26F40"/>
    <w:rsid w:val="00F30E27"/>
    <w:rsid w:val="00F31579"/>
    <w:rsid w:val="00F31C1F"/>
    <w:rsid w:val="00F33A27"/>
    <w:rsid w:val="00F41863"/>
    <w:rsid w:val="00F421FC"/>
    <w:rsid w:val="00F4234F"/>
    <w:rsid w:val="00F42EAE"/>
    <w:rsid w:val="00F45BE8"/>
    <w:rsid w:val="00F45C2C"/>
    <w:rsid w:val="00F4618A"/>
    <w:rsid w:val="00F479B0"/>
    <w:rsid w:val="00F565D9"/>
    <w:rsid w:val="00F63012"/>
    <w:rsid w:val="00F67E94"/>
    <w:rsid w:val="00F73F56"/>
    <w:rsid w:val="00F76569"/>
    <w:rsid w:val="00F8216D"/>
    <w:rsid w:val="00F82EEA"/>
    <w:rsid w:val="00F83149"/>
    <w:rsid w:val="00F9107F"/>
    <w:rsid w:val="00F96F44"/>
    <w:rsid w:val="00F9782D"/>
    <w:rsid w:val="00FA05FC"/>
    <w:rsid w:val="00FA1531"/>
    <w:rsid w:val="00FA258A"/>
    <w:rsid w:val="00FA2861"/>
    <w:rsid w:val="00FA3EB0"/>
    <w:rsid w:val="00FA4701"/>
    <w:rsid w:val="00FA6A8A"/>
    <w:rsid w:val="00FA6CF5"/>
    <w:rsid w:val="00FB30FB"/>
    <w:rsid w:val="00FB3765"/>
    <w:rsid w:val="00FB40A5"/>
    <w:rsid w:val="00FB7639"/>
    <w:rsid w:val="00FC1410"/>
    <w:rsid w:val="00FC1C56"/>
    <w:rsid w:val="00FC2B5B"/>
    <w:rsid w:val="00FC3F48"/>
    <w:rsid w:val="00FE0E4E"/>
    <w:rsid w:val="00FF1C3D"/>
    <w:rsid w:val="00FF1D29"/>
    <w:rsid w:val="00FF2664"/>
    <w:rsid w:val="00FF320A"/>
    <w:rsid w:val="00FF4670"/>
    <w:rsid w:val="00FF6143"/>
    <w:rsid w:val="00FF6931"/>
    <w:rsid w:val="04C04F89"/>
    <w:rsid w:val="114A239B"/>
    <w:rsid w:val="176E5D21"/>
    <w:rsid w:val="215FE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92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5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452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845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4A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nhideWhenUsed/>
    <w:rsid w:val="00C43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4A0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34A0"/>
    <w:pPr>
      <w:ind w:left="720"/>
      <w:contextualSpacing/>
    </w:pPr>
  </w:style>
  <w:style w:type="table" w:styleId="TableGrid">
    <w:name w:val="Table Grid"/>
    <w:basedOn w:val="TableNormal"/>
    <w:rsid w:val="00C4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434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434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1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FA"/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B1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1D29"/>
    <w:rPr>
      <w:color w:val="808080"/>
    </w:rPr>
  </w:style>
  <w:style w:type="table" w:customStyle="1" w:styleId="TableGrid2">
    <w:name w:val="Table Grid2"/>
    <w:basedOn w:val="TableNormal"/>
    <w:next w:val="TableGrid"/>
    <w:rsid w:val="0041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6F1D7D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6F1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45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452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9845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84523"/>
  </w:style>
  <w:style w:type="paragraph" w:styleId="EndnoteText">
    <w:name w:val="endnote text"/>
    <w:basedOn w:val="Normal"/>
    <w:link w:val="EndnoteTextChar"/>
    <w:rsid w:val="00984523"/>
    <w:pPr>
      <w:tabs>
        <w:tab w:val="left" w:pos="567"/>
      </w:tabs>
      <w:spacing w:before="120"/>
    </w:pPr>
    <w:rPr>
      <w:rFonts w:ascii="Times New Roman" w:eastAsia="Times New Roman" w:hAnsi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984523"/>
    <w:rPr>
      <w:rFonts w:ascii="Times New Roman" w:eastAsia="Times New Roman" w:hAnsi="Times New Roman" w:cs="Times New Roman"/>
      <w:szCs w:val="20"/>
    </w:rPr>
  </w:style>
  <w:style w:type="table" w:customStyle="1" w:styleId="TableGrid3">
    <w:name w:val="Table Grid3"/>
    <w:basedOn w:val="TableNormal"/>
    <w:next w:val="TableGrid"/>
    <w:locked/>
    <w:rsid w:val="0098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845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523"/>
    <w:pPr>
      <w:spacing w:before="120" w:after="12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523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84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523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45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lug-ahead-of-print-date">
    <w:name w:val="slug-ahead-of-print-date"/>
    <w:basedOn w:val="DefaultParagraphFont"/>
    <w:rsid w:val="00984523"/>
  </w:style>
  <w:style w:type="character" w:customStyle="1" w:styleId="slug-doi">
    <w:name w:val="slug-doi"/>
    <w:basedOn w:val="DefaultParagraphFont"/>
    <w:rsid w:val="00984523"/>
  </w:style>
  <w:style w:type="character" w:customStyle="1" w:styleId="name">
    <w:name w:val="name"/>
    <w:basedOn w:val="DefaultParagraphFont"/>
    <w:rsid w:val="00984523"/>
  </w:style>
  <w:style w:type="character" w:customStyle="1" w:styleId="contrib-degrees">
    <w:name w:val="contrib-degrees"/>
    <w:basedOn w:val="DefaultParagraphFont"/>
    <w:rsid w:val="00984523"/>
  </w:style>
  <w:style w:type="paragraph" w:customStyle="1" w:styleId="Default">
    <w:name w:val="Default"/>
    <w:rsid w:val="009845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984523"/>
    <w:rPr>
      <w:color w:val="800080" w:themeColor="followedHyperlink"/>
      <w:u w:val="single"/>
    </w:rPr>
  </w:style>
  <w:style w:type="character" w:customStyle="1" w:styleId="maintitle">
    <w:name w:val="maintitle"/>
    <w:basedOn w:val="DefaultParagraphFont"/>
    <w:rsid w:val="00984523"/>
  </w:style>
  <w:style w:type="paragraph" w:customStyle="1" w:styleId="articledetails">
    <w:name w:val="articledetails"/>
    <w:basedOn w:val="Normal"/>
    <w:rsid w:val="009845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earch-result-highlight1">
    <w:name w:val="search-result-highlight1"/>
    <w:basedOn w:val="DefaultParagraphFont"/>
    <w:rsid w:val="00984523"/>
    <w:rPr>
      <w:b/>
      <w:bCs/>
      <w:color w:val="CC0000"/>
    </w:rPr>
  </w:style>
  <w:style w:type="character" w:customStyle="1" w:styleId="cit-auth1">
    <w:name w:val="cit-auth1"/>
    <w:basedOn w:val="DefaultParagraphFont"/>
    <w:rsid w:val="00984523"/>
  </w:style>
  <w:style w:type="character" w:customStyle="1" w:styleId="cit-sep3">
    <w:name w:val="cit-sep3"/>
    <w:basedOn w:val="DefaultParagraphFont"/>
    <w:rsid w:val="00984523"/>
  </w:style>
  <w:style w:type="character" w:customStyle="1" w:styleId="cit-title4">
    <w:name w:val="cit-title4"/>
    <w:basedOn w:val="DefaultParagraphFont"/>
    <w:rsid w:val="00984523"/>
  </w:style>
  <w:style w:type="character" w:customStyle="1" w:styleId="cit-subtitle">
    <w:name w:val="cit-subtitle"/>
    <w:basedOn w:val="DefaultParagraphFont"/>
    <w:rsid w:val="00984523"/>
  </w:style>
  <w:style w:type="character" w:customStyle="1" w:styleId="site-title">
    <w:name w:val="site-title"/>
    <w:basedOn w:val="DefaultParagraphFont"/>
    <w:rsid w:val="00984523"/>
  </w:style>
  <w:style w:type="character" w:customStyle="1" w:styleId="cit-ahead-of-print-date">
    <w:name w:val="cit-ahead-of-print-date"/>
    <w:basedOn w:val="DefaultParagraphFont"/>
    <w:rsid w:val="00984523"/>
  </w:style>
  <w:style w:type="character" w:customStyle="1" w:styleId="cit-doi3">
    <w:name w:val="cit-doi3"/>
    <w:basedOn w:val="DefaultParagraphFont"/>
    <w:rsid w:val="00984523"/>
  </w:style>
  <w:style w:type="table" w:customStyle="1" w:styleId="TableGridLight2">
    <w:name w:val="Table Grid Light2"/>
    <w:basedOn w:val="TableNormal"/>
    <w:next w:val="TableGridLight"/>
    <w:uiPriority w:val="40"/>
    <w:rsid w:val="00984523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9845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ibliography">
    <w:name w:val="Bibliography"/>
    <w:basedOn w:val="Normal"/>
    <w:next w:val="Normal"/>
    <w:uiPriority w:val="37"/>
    <w:unhideWhenUsed/>
    <w:rsid w:val="00984523"/>
    <w:pPr>
      <w:spacing w:before="120" w:after="120"/>
    </w:pPr>
    <w:rPr>
      <w:rFonts w:ascii="Arial" w:hAnsi="Arial"/>
    </w:rPr>
  </w:style>
  <w:style w:type="character" w:styleId="EndnoteReference">
    <w:name w:val="endnote reference"/>
    <w:basedOn w:val="DefaultParagraphFont"/>
    <w:unhideWhenUsed/>
    <w:rsid w:val="0098452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84523"/>
    <w:rPr>
      <w:color w:val="605E5C"/>
      <w:shd w:val="clear" w:color="auto" w:fill="E1DFDD"/>
    </w:rPr>
  </w:style>
  <w:style w:type="character" w:customStyle="1" w:styleId="controlleddrugs">
    <w:name w:val="controlleddrugs"/>
    <w:basedOn w:val="DefaultParagraphFont"/>
    <w:rsid w:val="00984523"/>
  </w:style>
  <w:style w:type="character" w:customStyle="1" w:styleId="strengthofactiveingredient">
    <w:name w:val="strengthofactiveingredient"/>
    <w:basedOn w:val="DefaultParagraphFont"/>
    <w:rsid w:val="00984523"/>
  </w:style>
  <w:style w:type="paragraph" w:customStyle="1" w:styleId="paragraph">
    <w:name w:val="paragraph"/>
    <w:basedOn w:val="Normal"/>
    <w:rsid w:val="009845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84523"/>
  </w:style>
  <w:style w:type="character" w:customStyle="1" w:styleId="eop">
    <w:name w:val="eop"/>
    <w:basedOn w:val="DefaultParagraphFont"/>
    <w:rsid w:val="00984523"/>
  </w:style>
  <w:style w:type="paragraph" w:styleId="FootnoteText">
    <w:name w:val="footnote text"/>
    <w:basedOn w:val="Normal"/>
    <w:link w:val="FootnoteTextChar"/>
    <w:unhideWhenUsed/>
    <w:rsid w:val="00984523"/>
    <w:pPr>
      <w:spacing w:before="120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4523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984523"/>
    <w:rPr>
      <w:vertAlign w:val="superscript"/>
    </w:rPr>
  </w:style>
  <w:style w:type="table" w:customStyle="1" w:styleId="TableGrid4">
    <w:name w:val="Table Grid4"/>
    <w:basedOn w:val="TableNormal"/>
    <w:next w:val="TableGrid"/>
    <w:locked/>
    <w:rsid w:val="00DC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DC32DD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4">
    <w:name w:val="Table Grid Light4"/>
    <w:basedOn w:val="TableNormal"/>
    <w:next w:val="TableGridLight"/>
    <w:uiPriority w:val="40"/>
    <w:rsid w:val="006E6F29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5">
    <w:name w:val="Table Grid5"/>
    <w:basedOn w:val="TableNormal"/>
    <w:next w:val="TableGrid"/>
    <w:locked/>
    <w:rsid w:val="00DE0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5">
    <w:name w:val="Table Grid Light5"/>
    <w:basedOn w:val="TableNormal"/>
    <w:next w:val="TableGridLight"/>
    <w:uiPriority w:val="40"/>
    <w:rsid w:val="00DE0813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6">
    <w:name w:val="Table Grid Light6"/>
    <w:basedOn w:val="TableNormal"/>
    <w:next w:val="TableGridLight"/>
    <w:uiPriority w:val="40"/>
    <w:rsid w:val="009D1C0C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7">
    <w:name w:val="Table Grid Light7"/>
    <w:basedOn w:val="TableNormal"/>
    <w:next w:val="TableGridLight"/>
    <w:uiPriority w:val="40"/>
    <w:rsid w:val="00B039CE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8">
    <w:name w:val="Table Grid Light8"/>
    <w:basedOn w:val="TableNormal"/>
    <w:next w:val="TableGridLight"/>
    <w:uiPriority w:val="40"/>
    <w:rsid w:val="005908D8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6">
    <w:name w:val="Table Grid6"/>
    <w:basedOn w:val="TableNormal"/>
    <w:next w:val="TableGrid"/>
    <w:uiPriority w:val="39"/>
    <w:rsid w:val="009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9">
    <w:name w:val="Table Grid Light9"/>
    <w:basedOn w:val="TableNormal"/>
    <w:next w:val="TableGridLight"/>
    <w:uiPriority w:val="40"/>
    <w:rsid w:val="00A924EF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0">
    <w:name w:val="Table Grid Light10"/>
    <w:basedOn w:val="TableNormal"/>
    <w:next w:val="TableGridLight"/>
    <w:uiPriority w:val="40"/>
    <w:rsid w:val="002D5439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46313"/>
  </w:style>
  <w:style w:type="table" w:customStyle="1" w:styleId="TableGridLight11">
    <w:name w:val="Table Grid Light11"/>
    <w:basedOn w:val="TableNormal"/>
    <w:next w:val="TableGridLight"/>
    <w:uiPriority w:val="40"/>
    <w:rsid w:val="00D46313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qFormat/>
    <w:rsid w:val="00D46313"/>
    <w:pPr>
      <w:numPr>
        <w:ilvl w:val="1"/>
      </w:numPr>
      <w:spacing w:before="120"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D46313"/>
    <w:rPr>
      <w:rFonts w:eastAsiaTheme="minorEastAsia"/>
      <w:color w:val="5A5A5A" w:themeColor="text1" w:themeTint="A5"/>
      <w:spacing w:val="15"/>
    </w:rPr>
  </w:style>
  <w:style w:type="table" w:customStyle="1" w:styleId="TableGridLight12">
    <w:name w:val="Table Grid Light12"/>
    <w:basedOn w:val="TableNormal"/>
    <w:next w:val="TableGridLight"/>
    <w:uiPriority w:val="40"/>
    <w:rsid w:val="00022849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3">
    <w:name w:val="Table Grid Light13"/>
    <w:basedOn w:val="TableNormal"/>
    <w:next w:val="TableGridLight"/>
    <w:uiPriority w:val="40"/>
    <w:rsid w:val="00D50ACD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4">
    <w:name w:val="Table Grid Light14"/>
    <w:basedOn w:val="TableNormal"/>
    <w:next w:val="TableGridLight"/>
    <w:uiPriority w:val="40"/>
    <w:rsid w:val="007F6E4B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5">
    <w:name w:val="Table Grid Light15"/>
    <w:basedOn w:val="TableNormal"/>
    <w:next w:val="TableGridLight"/>
    <w:uiPriority w:val="40"/>
    <w:rsid w:val="0060607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6">
    <w:name w:val="Table Grid Light16"/>
    <w:basedOn w:val="TableNormal"/>
    <w:next w:val="TableGridLight"/>
    <w:uiPriority w:val="40"/>
    <w:rsid w:val="00A0678D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7">
    <w:name w:val="Table Grid Light17"/>
    <w:basedOn w:val="TableNormal"/>
    <w:next w:val="TableGridLight"/>
    <w:uiPriority w:val="40"/>
    <w:rsid w:val="00EA0A0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8">
    <w:name w:val="Table Grid Light18"/>
    <w:basedOn w:val="TableNormal"/>
    <w:next w:val="TableGridLight"/>
    <w:uiPriority w:val="40"/>
    <w:rsid w:val="009032F4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9">
    <w:name w:val="Table Grid Light19"/>
    <w:basedOn w:val="TableNormal"/>
    <w:next w:val="TableGridLight"/>
    <w:uiPriority w:val="40"/>
    <w:rsid w:val="00BB11F2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5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land.nhs.uk/publication/commissioning-recommendations-blood-glucose-and-ketone-meters-testing-strips-and-lance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Swe21</b:Tag>
    <b:SourceType>DocumentFromInternetSite</b:SourceType>
    <b:Guid>{0E37E505-1754-460E-941C-8BEC2ECF2237}</b:Guid>
    <b:Author>
      <b:Author>
        <b:Corporate>Swedish Medical Products Agency</b:Corporate>
      </b:Author>
    </b:Author>
    <b:Title>Public Assessment Report Ryaltris SE/H/2040/01/DC/2020-0001</b:Title>
    <b:Year>2021</b:Year>
    <b:Month>April</b:Month>
    <b:YearAccessed>2022</b:YearAccessed>
    <b:MonthAccessed>March</b:MonthAccessed>
    <b:URL>https://docetp.mpa.se/LMF/Ryaltris%20Nasal%20spray,%20suspension%20ENG%20PAR_09001bee81ad8a1e.pdf</b:URL>
    <b:RefOrder>9</b:RefOrder>
  </b:Source>
  <b:Source>
    <b:Tag>DiL04</b:Tag>
    <b:SourceType>JournalArticle</b:SourceType>
    <b:Guid>{22D57D71-CB75-4C3E-9435-ACE752A122C6}</b:Guid>
    <b:Author>
      <b:Author>
        <b:Corporate>Di Lorenzo G et al</b:Corporate>
      </b:Author>
    </b:Author>
    <b:Title>Randomized placebo-controlled trial comparing fluticasone aqueous nasal spray in mono-therapy, fluticasone plus cetirizine, fluticasone plus montelukast for seasonal allergic rhinitis</b:Title>
    <b:JournalName>Clinical Experimental Allergy</b:JournalName>
    <b:Year>2004</b:Year>
    <b:Pages>259-267</b:Pages>
    <b:Volume>34</b:Volume>
    <b:Issue>2</b:Issue>
    <b:RefOrder>10</b:RefOrder>
  </b:Source>
  <b:Source>
    <b:Tag>Rat98</b:Tag>
    <b:SourceType>JournalArticle</b:SourceType>
    <b:Guid>{916B2C7D-C207-4AE3-89CE-09CD8B66FD9C}</b:Guid>
    <b:Author>
      <b:Author>
        <b:Corporate>Ratner PH et al</b:Corporate>
      </b:Author>
    </b:Author>
    <b:Title>A comparison of the efficacy of fluticasone propionate aqueous nasal spray and loratadine, alone and in combination, for the treatment of seasonal allergic rhinitis</b:Title>
    <b:JournalName>Journal of Family Practice</b:JournalName>
    <b:Year>1998</b:Year>
    <b:Pages>118-125</b:Pages>
    <b:Volume>47</b:Volume>
    <b:Issue>2</b:Issue>
    <b:RefOrder>11</b:RefOrder>
  </b:Source>
  <b:Source>
    <b:Tag>Nas10</b:Tag>
    <b:SourceType>JournalArticle</b:SourceType>
    <b:Guid>{A4AA1A9C-6BBE-440D-A52A-104DA14A6D3E}</b:Guid>
    <b:Author>
      <b:Author>
        <b:Corporate>Nasser M et al</b:Corporate>
      </b:Author>
    </b:Author>
    <b:Title>Antihistamines used in addition to topical nasal steroids for intermittent and persistent allergic rhinitis in children</b:Title>
    <b:JournalName>Cochrane Database of Systematic Reviews</b:JournalName>
    <b:Year>2010</b:Year>
    <b:Issue>DOI: 10.1002/14651858.CD006989.pub2., p. CD006989</b:Issue>
    <b:RefOrder>12</b:RefOrder>
  </b:Source>
  <b:Source>
    <b:Tag>Ano08</b:Tag>
    <b:SourceType>JournalArticle</b:SourceType>
    <b:Guid>{2545CEE0-366E-474E-BDA8-47955A62AC97}</b:Guid>
    <b:Author>
      <b:Author>
        <b:Corporate>Anolik R et al</b:Corporate>
      </b:Author>
    </b:Author>
    <b:Title>Clinical benefits of combination treatment with mometasone furoate nasal spray and loratadine vs monotherapy with mometasone furoate in the treatment of allergic rhinitis</b:Title>
    <b:JournalName>Annals of Allergy, Asthma and Immunology</b:JournalName>
    <b:Year>2008</b:Year>
    <b:Pages>268-271</b:Pages>
    <b:Volume>100</b:Volume>
    <b:Issue>3</b:Issue>
    <b:RefOrder>13</b:RefOrder>
  </b:Source>
  <b:Source>
    <b:Tag>Ben94</b:Tag>
    <b:SourceType>JournalArticle</b:SourceType>
    <b:Guid>{592804B7-7389-46B9-B9C0-6DF3719F5CEB}</b:Guid>
    <b:Author>
      <b:Author>
        <b:Corporate>Benincasa C and Lloyd R</b:Corporate>
      </b:Author>
    </b:Author>
    <b:Title>Evaluation of fluticasone propionate aqueous nasal spray taken alone and in combination with cetirizine in the prophylactic treatment of seasonal allergic rhinitis</b:Title>
    <b:JournalName>Drug Investigation</b:JournalName>
    <b:Year>1994</b:Year>
    <b:Pages>225-233</b:Pages>
    <b:Volume>8</b:Volume>
    <b:RefOrder>14</b:RefOrder>
  </b:Source>
  <b:Source>
    <b:Tag>Sca17</b:Tag>
    <b:SourceType>JournalArticle</b:SourceType>
    <b:Guid>{B200756D-B7CE-4197-8B14-6CFF10EEDC37}</b:Guid>
    <b:Author>
      <b:Author>
        <b:Corporate>Scadding GK et al</b:Corporate>
      </b:Author>
    </b:Author>
    <b:Title>BSACI guideline for the diagnosis and management of allergic and non-allergic rhinitis (revised edition)</b:Title>
    <b:JournalName>Clinical and Experimental Allergy</b:JournalName>
    <b:Year>2017</b:Year>
    <b:Pages>856-889</b:Pages>
    <b:Volume>47</b:Volume>
    <b:RefOrder>15</b:RefOrder>
  </b:Source>
  <b:Source>
    <b:Tag>Ele211</b:Tag>
    <b:SourceType>DocumentFromInternetSite</b:SourceType>
    <b:Guid>{8CE77ACF-87B6-4AFF-8243-086B1A217FDE}</b:Guid>
    <b:Author>
      <b:Author>
        <b:Corporate>Electronic Medicines Compendium</b:Corporate>
      </b:Author>
    </b:Author>
    <b:Title>Summary of Product Characteristics Ryaltris Nasal Spray</b:Title>
    <b:Year>2021</b:Year>
    <b:Month>May</b:Month>
    <b:YearAccessed>2022</b:YearAccessed>
    <b:MonthAccessed>March</b:MonthAccessed>
    <b:URL>https://www.medicines.org.uk/emc/product/12898</b:URL>
    <b:RefOrder>16</b:RefOrder>
  </b:Source>
  <b:Source>
    <b:Tag>Nat181</b:Tag>
    <b:SourceType>InternetSite</b:SourceType>
    <b:Guid>{923E0577-73CD-4DA0-A271-6D2C9186AD03}</b:Guid>
    <b:Author>
      <b:Author>
        <b:Corporate>National Institute for Health and Care Excellence</b:Corporate>
      </b:Author>
    </b:Author>
    <b:Title>Clinical Knowledge Summary: Allergic Rhinitis</b:Title>
    <b:Year>2018</b:Year>
    <b:Month>September</b:Month>
    <b:YearAccessed>2019</b:YearAccessed>
    <b:MonthAccessed>June</b:MonthAccessed>
    <b:DayAccessed>18</b:DayAccessed>
    <b:URL>https://cks.nice.org.uk/allergic-rhinitis#!topicSummary</b:URL>
    <b:RefOrder>17</b:RefOrder>
  </b:Source>
  <b:Source>
    <b:Tag>FCH19</b:Tag>
    <b:SourceType>JournalArticle</b:SourceType>
    <b:Guid>{E5C9EC44-2C5F-4273-AD76-50D794F74A29}</b:Guid>
    <b:Title>Olopatadine-mometasone combination nasal spray: Evaluation of efficacy and safety in patients with seasonal allergic rhinitis</b:Title>
    <b:Year>2019</b:Year>
    <b:Author>
      <b:Author>
        <b:Corporate>FC Hampel et al</b:Corporate>
      </b:Author>
    </b:Author>
    <b:JournalName>Allergy Asthma  Proc</b:JournalName>
    <b:Pages>261-272</b:Pages>
    <b:Volume>40</b:Volume>
    <b:RefOrder>18</b:RefOrder>
  </b:Source>
  <b:Source>
    <b:Tag>GNG19</b:Tag>
    <b:SourceType>JournalArticle</b:SourceType>
    <b:Guid>{C15253A0-2244-4F0B-AB8F-9583B5EA5AE3}</b:Guid>
    <b:Author>
      <b:Author>
        <b:Corporate>GN Gross et al</b:Corporate>
      </b:Author>
    </b:Author>
    <b:Title>Efficacy and safety of olopatadine-mometasone combination nasal spray for the treatment of seasonal allergic rhinitis</b:Title>
    <b:JournalName>Ann Allergy Asthma Immunol</b:JournalName>
    <b:Year>2019</b:Year>
    <b:Pages>630-638</b:Pages>
    <b:Volume>122</b:Volume>
    <b:RefOrder>19</b:RefOrder>
  </b:Source>
  <b:Source>
    <b:Tag>NSe19</b:Tag>
    <b:SourceType>JournalArticle</b:SourceType>
    <b:Guid>{B95C5B39-FDB8-47BB-AC83-F053B7D33295}</b:Guid>
    <b:Author>
      <b:Author>
        <b:Corporate>N Segall et al</b:Corporate>
      </b:Author>
    </b:Author>
    <b:Title>Long-term safety and efficacy of olopatadine-mometasone combination nasal spray in patients with perennial allergic rhinitis</b:Title>
    <b:JournalName>Allergy Asthma Proc</b:JournalName>
    <b:Year>2019</b:Year>
    <b:Pages>301-310</b:Pages>
    <b:Volume>40</b:Volume>
    <b:Issue>5</b:Issue>
    <b:RefOrder>20</b:RefOrder>
  </b:Source>
  <b:Source>
    <b:Tag>Ele184</b:Tag>
    <b:SourceType>InternetSite</b:SourceType>
    <b:Guid>{A433D472-D5D8-44C6-94BD-4588DF812789}</b:Guid>
    <b:Title>Summary of Product Characteristics Dymista Nasal Spray</b:Title>
    <b:Year>2018</b:Year>
    <b:Author>
      <b:Author>
        <b:Corporate>Electronic Medicines Compendium</b:Corporate>
      </b:Author>
    </b:Author>
    <b:ProductionCompany>Mylan Products Ltd</b:ProductionCompany>
    <b:Month>May</b:Month>
    <b:YearAccessed>2019</b:YearAccessed>
    <b:MonthAccessed>June</b:MonthAccessed>
    <b:DayAccessed>18</b:DayAccessed>
    <b:URL>https://www.medicines.org.uk/emc/product/9450</b:URL>
    <b:RefOrder>21</b:RefOrder>
  </b:Source>
  <b:Source>
    <b:Tag>Bun12</b:Tag>
    <b:SourceType>Report</b:SourceType>
    <b:Guid>{932A9F8D-178D-4F9F-B91A-8B2BCEBC4492}</b:Guid>
    <b:Title>Public Assessment Report Dymista Nasal Spray</b:Title>
    <b:Year>2012</b:Year>
    <b:Author>
      <b:Author>
        <b:Corporate>Bundesinstitut für Arzneimittel und Medizinprodukte</b:Corporate>
      </b:Author>
    </b:Author>
    <b:RefOrder>22</b:RefOrder>
  </b:Source>
  <b:Source>
    <b:Tag>USF12</b:Tag>
    <b:SourceType>InternetSite</b:SourceType>
    <b:Guid>{6045C79D-D3CA-4C24-B78D-689CF5942F07}</b:Guid>
    <b:Title>Summary Review Dymista Nasal Spray</b:Title>
    <b:Year>2012</b:Year>
    <b:Author>
      <b:Author>
        <b:Corporate>US Food and Drugs Administration</b:Corporate>
      </b:Author>
    </b:Author>
    <b:Month>May</b:Month>
    <b:Day>1</b:Day>
    <b:YearAccessed>2019</b:YearAccessed>
    <b:MonthAccessed>June</b:MonthAccessed>
    <b:DayAccessed>18</b:DayAccessed>
    <b:URL>https://www.accessdata.fda.gov/drugsatfda_docs/nda/2012/202236Orig1s000SumR.pdf</b:URL>
    <b:RefOrder>23</b:RefOrder>
  </b:Source>
  <b:Source>
    <b:Tag>Ham10</b:Tag>
    <b:SourceType>JournalArticle</b:SourceType>
    <b:Guid>{0507FEB2-F756-46C4-BD22-4642717F6EFB}</b:Guid>
    <b:Title>Double-blind, placebo-controlled study of azelastine and fluticasone in a single nasal spray delivery</b:Title>
    <b:Year>2010</b:Year>
    <b:Author>
      <b:Author>
        <b:Corporate>Hampel FC et al</b:Corporate>
      </b:Author>
    </b:Author>
    <b:JournalName>Annals of Allergy, Asthma and Immunology</b:JournalName>
    <b:Pages>168-173</b:Pages>
    <b:Volume>105</b:Volume>
    <b:Issue>2</b:Issue>
    <b:RefOrder>24</b:RefOrder>
  </b:Source>
  <b:Source>
    <b:Tag>Mel13</b:Tag>
    <b:SourceType>JournalArticle</b:SourceType>
    <b:Guid>{5412E101-8A6A-43A9-B502-6D8544DBA698}</b:Guid>
    <b:Author>
      <b:Author>
        <b:Corporate>Meltzer E et al</b:Corporate>
      </b:Author>
    </b:Author>
    <b:Title>Clinically Relevant Effect of a New Intranasal Therapy (MP29-02) in Allergic Rhinitis Assessed by Responder Analysis</b:Title>
    <b:JournalName>International Archives of Allergy and Immunology</b:JournalName>
    <b:Year>2013</b:Year>
    <b:Pages>369-377</b:Pages>
    <b:Volume>161</b:Volume>
    <b:RefOrder>25</b:RefOrder>
  </b:Source>
  <b:Source>
    <b:Tag>Car12</b:Tag>
    <b:SourceType>JournalArticle</b:SourceType>
    <b:Guid>{34740F12-A036-4C38-B912-A3394E29FE79}</b:Guid>
    <b:Author>
      <b:Author>
        <b:Corporate>Carr W et al</b:Corporate>
      </b:Author>
    </b:Author>
    <b:Title>A novel intranasal therapy of azelastine with fluticasone for the treatment of allergic rhinitis</b:Title>
    <b:JournalName>Journal of Allergy and Clinical Immunology</b:JournalName>
    <b:Year>2012</b:Year>
    <b:Pages>1282-1289</b:Pages>
    <b:Volume>129</b:Volume>
    <b:Issue>5</b:Issue>
    <b:RefOrder>26</b:RefOrder>
  </b:Source>
  <b:Source>
    <b:Tag>Pri13</b:Tag>
    <b:SourceType>JournalArticle</b:SourceType>
    <b:Guid>{E373EF5D-93A2-49B5-9C0C-A0F9F2CCC575}</b:Guid>
    <b:Author>
      <b:Author>
        <b:Corporate>Price D et al</b:Corporate>
      </b:Author>
    </b:Author>
    <b:Title>A New Therapy (MP29-02) Is Effective for the Long-Term Treatment of Chronic Rhinitis</b:Title>
    <b:JournalName>Journal of Investig Allergol Clin Immunol</b:JournalName>
    <b:Year>2013</b:Year>
    <b:Pages>495-503</b:Pages>
    <b:Volume>23</b:Volume>
    <b:Issue>7</b:Issue>
    <b:RefOrder>27</b:RefOrder>
  </b:Source>
  <b:Source>
    <b:Tag>Eur211</b:Tag>
    <b:SourceType>Report</b:SourceType>
    <b:Guid>{2C6DF94B-0022-44C3-BD3F-5B25AB100725}</b:Guid>
    <b:Author>
      <b:Author>
        <b:Corporate>European Medicines Agency</b:Corporate>
      </b:Author>
    </b:Author>
    <b:Title>Public Assessment Report Efmody (EMEA/H/C/005105/0000)</b:Title>
    <b:Year>2021</b:Year>
    <b:RefOrder>28</b:RefOrder>
  </b:Source>
  <b:Source>
    <b:Tag>Sco22</b:Tag>
    <b:SourceType>InternetSite</b:SourceType>
    <b:Guid>{7871BD1F-36F0-4594-BA82-DF3AB9F102CA}</b:Guid>
    <b:Author>
      <b:Author>
        <b:Corporate>Scottish Medicines Consortium</b:Corporate>
      </b:Author>
    </b:Author>
    <b:Title>Hydrocortisone Modified-Release 5 mg, 10 mg and 20 mg Hard Capsules (Efmody)</b:Title>
    <b:Year>2022</b:Year>
    <b:Month>February</b:Month>
    <b:Day>4</b:Day>
    <b:YearAccessed>2022</b:YearAccessed>
    <b:MonthAccessed>August</b:MonthAccessed>
    <b:DayAccessed>15</b:DayAccessed>
    <b:URL>https://www.scottishmedicines.org.uk/media/6729/hydrocortisone-modified-release-efmody-final-feb-2022-for-website.pdf</b:URL>
    <b:RefOrder>29</b:RefOrder>
  </b:Source>
  <b:Source>
    <b:Tag>Eur21</b:Tag>
    <b:SourceType>DocumentFromInternetSite</b:SourceType>
    <b:Guid>{60B07A91-A9B5-44FD-979B-7C7EBD427F75}</b:Guid>
    <b:Title>Annex I Summary of Product Characteristics</b:Title>
    <b:Year>2021</b:Year>
    <b:Author>
      <b:Author>
        <b:NameList>
          <b:Person>
            <b:Last>Agency</b:Last>
            <b:First>European</b:First>
            <b:Middle>Medicines</b:Middle>
          </b:Person>
        </b:NameList>
      </b:Author>
    </b:Author>
    <b:Month>May</b:Month>
    <b:Day>27</b:Day>
    <b:YearAccessed>2022</b:YearAccessed>
    <b:MonthAccessed>August</b:MonthAccessed>
    <b:DayAccessed>15</b:DayAccessed>
    <b:URL>https://www.ema.europa.eu/en/documents/product-information/efmody-epar-product-information_en.pdf</b:URL>
    <b:RefOrder>30</b:RefOrder>
  </b:Source>
  <b:Source>
    <b:Tag>SRB16</b:Tag>
    <b:SourceType>JournalArticle</b:SourceType>
    <b:Guid>{BAA1EB59-AF48-40B9-A503-D4392B7B5D8D}</b:Guid>
    <b:Title>Diagnosis and Treatment of Primary Adrenal Insufficiency: An Endocrine Society Clinical Practice Guideline</b:Title>
    <b:Year>2016</b:Year>
    <b:Author>
      <b:Author>
        <b:Corporate>SR Bornstein et al </b:Corporate>
      </b:Author>
    </b:Author>
    <b:JournalName>Journal Clin Endocrinol Metab</b:JournalName>
    <b:Pages>364-389</b:Pages>
    <b:Volume>101</b:Volume>
    <b:Issue>2</b:Issue>
    <b:RefOrder>31</b:RefOrder>
  </b:Source>
  <b:Source>
    <b:Tag>PWS10</b:Tag>
    <b:SourceType>JournalArticle</b:SourceType>
    <b:Guid>{501A1934-464E-4E06-AC95-72AA6F53A2AA}</b:Guid>
    <b:Author>
      <b:Author>
        <b:Corporate>PW Speiser et al</b:Corporate>
      </b:Author>
    </b:Author>
    <b:Title>Congenital Adrenal Hyperplasia due to Steroid 21 - Hydroxylase Deficiency: An Endocrine Society Clinical Practice Guideline</b:Title>
    <b:JournalName>J Clin Endocrinol Metab</b:JournalName>
    <b:Year>2010</b:Year>
    <b:Pages>4133-4160</b:Pages>
    <b:Volume>95</b:Volume>
    <b:Issue>9</b:Issue>
    <b:RefOrder>32</b:RefOrder>
  </b:Source>
  <b:Source>
    <b:Tag>Ele186</b:Tag>
    <b:SourceType>InternetSite</b:SourceType>
    <b:Guid>{B4D88694-83D2-42F3-8979-B4D9EAE6BC38}</b:Guid>
    <b:Author>
      <b:Author>
        <b:Corporate>Electronic Medicines Compendium</b:Corporate>
      </b:Author>
    </b:Author>
    <b:Title>Summary of Product Characteristics Alkindi 0.5 mg granules for opening</b:Title>
    <b:ProductionCompany>Diurnal Ltd</b:ProductionCompany>
    <b:Year>2018</b:Year>
    <b:Month>February</b:Month>
    <b:YearAccessed>2021</b:YearAccessed>
    <b:MonthAccessed>March</b:MonthAccessed>
    <b:RefOrder>33</b:RefOrder>
  </b:Source>
  <b:Source>
    <b:Tag>Sco18</b:Tag>
    <b:SourceType>InternetSite</b:SourceType>
    <b:Guid>{6DD48090-2296-4D90-A41E-2AF3C7DF4916}</b:Guid>
    <b:Author>
      <b:Author>
        <b:Corporate>Scottish Medicines Consortium</b:Corporate>
      </b:Author>
    </b:Author>
    <b:Title>Hydrocortisone 0.5 mg, 1 mg, 2 mg and 5 mg granules in capsules for opening (Alkindi)</b:Title>
    <b:Year>2018</b:Year>
    <b:Month>September</b:Month>
    <b:Day>7</b:Day>
    <b:YearAccessed>2021</b:YearAccessed>
    <b:MonthAccessed>March</b:MonthAccessed>
    <b:URL>https://www.scottishmedicines.org.uk/media/3758/hydrocortisone-granules-alkindi-final-september-2018-for-website.pdf</b:URL>
    <b:RefOrder>34</b:RefOrder>
  </b:Source>
  <b:Source>
    <b:Tag>Nat202</b:Tag>
    <b:SourceType>InternetSite</b:SourceType>
    <b:Guid>{90F7265B-C4B0-4A31-B469-5AAFCD821464}</b:Guid>
    <b:Author>
      <b:Author>
        <b:Corporate>National Institute of Health and Care Excellence</b:Corporate>
      </b:Author>
    </b:Author>
    <b:Title>Clinical Knowledge Summary - Addison's Disease</b:Title>
    <b:Year>2020</b:Year>
    <b:Month>December</b:Month>
    <b:YearAccessed>2021</b:YearAccessed>
    <b:MonthAccessed>March</b:MonthAccessed>
    <b:URL>https://cks.nice.org.uk/topics/addisons-disease/</b:URL>
    <b:RefOrder>35</b:RefOrder>
  </b:Source>
  <b:Source>
    <b:Tag>Eur172</b:Tag>
    <b:SourceType>DocumentFromInternetSite</b:SourceType>
    <b:Guid>{2268D1FB-EDBE-4A42-BFFC-F2330DAE38F4}</b:Guid>
    <b:Title>Public Assessment Report Alkindi EMEA/H/C/004416/0000</b:Title>
    <b:Year>2017</b:Year>
    <b:Month>December</b:Month>
    <b:YearAccessed>2021</b:YearAccessed>
    <b:MonthAccessed>March</b:MonthAccessed>
    <b:URL>https://www.ema.europa.eu/en/documents/assessment-report/alkindi-epar-public-assessment-report_en.pdf</b:URL>
    <b:Author>
      <b:Author>
        <b:Corporate>European Medicines Agency</b:Corporate>
      </b:Author>
    </b:Author>
    <b:RefOrder>36</b:RefOrder>
  </b:Source>
  <b:Source>
    <b:Tag>UNe18</b:Tag>
    <b:SourceType>JournalArticle</b:SourceType>
    <b:Guid>{EFC6F617-896A-4705-99A7-A3101F2AA9B2}</b:Guid>
    <b:Title>Absorption and tolerability of taste-masked hydrocortisone granules in neonates, infants and children under 6 years of age with adrenal insufficiency</b:Title>
    <b:Year>2018</b:Year>
    <b:Author>
      <b:Author>
        <b:Corporate>U Neumann et al</b:Corporate>
      </b:Author>
    </b:Author>
    <b:JournalName>Clinical Endocrinology</b:JournalName>
    <b:Pages>21-29</b:Pages>
    <b:Volume>88</b:Volume>
    <b:RefOrder>37</b:RefOrder>
  </b:Source>
  <b:Source>
    <b:Tag>Med21</b:Tag>
    <b:SourceType>InternetSite</b:SourceType>
    <b:Guid>{A81F02F2-0774-4DE4-A536-579136935E57}</b:Guid>
    <b:Title>Alkindi (hydrocortisone granules): risk of acute adrenal insufficiency in children when switching from hydrocortisone tablet formulations to granules </b:Title>
    <b:Year>2021</b:Year>
    <b:Author>
      <b:Author>
        <b:Corporate>Medicines and Healthcare products Regulatory Agency</b:Corporate>
      </b:Author>
    </b:Author>
    <b:Month>February</b:Month>
    <b:YearAccessed>2021</b:YearAccessed>
    <b:MonthAccessed>March</b:MonthAccessed>
    <b:URL>https://www.gov.uk/drug-safety-update/alkindi-hydrocortisone-granules-risk-of-acute-adrenal-insufficiency-in-children-when-switching-from-hydrocortisone-tablet-formulations-to-granules#new-safety-advice-to-parents-or-carers</b:URL>
    <b:RefOrder>38</b:RefOrder>
  </b:Source>
  <b:Source>
    <b:Tag>Ele10</b:Tag>
    <b:SourceType>InternetSite</b:SourceType>
    <b:Guid>{E58EC6D0-423A-4DFC-A074-A0E8E8F6A20D}</b:Guid>
    <b:Author>
      <b:Author>
        <b:Corporate>Electronic Medicines Compendium</b:Corporate>
      </b:Author>
    </b:Author>
    <b:Title>Summary of Product Characteristics Sativex Oromucosal Spray</b:Title>
    <b:ProductionCompany>GW Pharma Ltd</b:ProductionCompany>
    <b:Year>2010</b:Year>
    <b:Month>June</b:Month>
    <b:YearAccessed>2022</b:YearAccessed>
    <b:MonthAccessed>September</b:MonthAccessed>
    <b:URL>https://www.medicines.org.uk/emc/product/602</b:URL>
    <b:RefOrder>39</b:RefOrder>
  </b:Source>
  <b:Source>
    <b:Tag>MMu18</b:Tag>
    <b:SourceType>JournalArticle</b:SourceType>
    <b:Guid>{D56178A1-B547-405C-9F5A-E6ABB89D4DC1}</b:Guid>
    <b:Title>Cannabis-based medicines for chronic neuropathic pain in adults (Review)</b:Title>
    <b:Year>2018</b:Year>
    <b:Author>
      <b:Author>
        <b:Corporate>M Mucke et al</b:Corporate>
      </b:Author>
    </b:Author>
    <b:JournalName>Cochrane Database of Systematic Reviews</b:JournalName>
    <b:Pages>CD012182</b:Pages>
    <b:Issue>3</b:Issue>
    <b:RefOrder>40</b:RefOrder>
  </b:Source>
  <b:Source>
    <b:Tag>NIC13</b:Tag>
    <b:SourceType>InternetSite</b:SourceType>
    <b:Guid>{F1627D17-CB40-4114-B50C-7437525B8F70}</b:Guid>
    <b:Title>Neuropathic pain in adults: pharmacological management in non-specialist settings (CG173)</b:Title>
    <b:Year>2013</b:Year>
    <b:Author>
      <b:Author>
        <b:Corporate>NICE</b:Corporate>
      </b:Author>
    </b:Author>
    <b:Month>November</b:Month>
    <b:YearAccessed>2022</b:YearAccessed>
    <b:MonthAccessed>September</b:MonthAccessed>
    <b:URL>https://www.nice.org.uk/guidance/cg173/chapter/Recommendations</b:URL>
    <b:RefOrder>41</b:RefOrder>
  </b:Source>
  <b:Source>
    <b:Tag>NIC19</b:Tag>
    <b:SourceType>InternetSite</b:SourceType>
    <b:Guid>{03A82A18-4C7C-4D15-A318-04673987CB81}</b:Guid>
    <b:Author>
      <b:Author>
        <b:Corporate>NICE</b:Corporate>
      </b:Author>
    </b:Author>
    <b:Title>Cannabis-based medicinal products NG144</b:Title>
    <b:Year>2019</b:Year>
    <b:Month>November</b:Month>
    <b:YearAccessed>2022</b:YearAccessed>
    <b:MonthAccessed>September</b:MonthAccessed>
    <b:URL>https://www.nice.org.uk/guidance/ng144/chapter/Recommendations#chronic-pain</b:URL>
    <b:RefOrder>42</b:RefOrder>
  </b:Source>
  <b:Source>
    <b:Tag>MSM22</b:Tag>
    <b:SourceType>JournalArticle</b:SourceType>
    <b:Guid>{328F2E75-54EE-4B86-8E77-2BF2251336E9}</b:Guid>
    <b:Title>Cannabis-Based Products for Chronic Pain</b:Title>
    <b:Year>2022</b:Year>
    <b:Author>
      <b:Author>
        <b:Corporate>MS McDonagh et al</b:Corporate>
      </b:Author>
    </b:Author>
    <b:JournalName>Ann Intern Med</b:JournalName>
    <b:Pages>1143-1153</b:Pages>
    <b:Volume>175</b:Volume>
    <b:RefOrder>43</b:RefOrder>
  </b:Source>
  <b:Source>
    <b:Tag>The19</b:Tag>
    <b:SourceType>DocumentFromInternetSite</b:SourceType>
    <b:Guid>{F3CB34F5-0940-4B1C-9A03-8026C6D29C21}</b:Guid>
    <b:Title>CADTH RAPID RESPONSE REPORT: Medical Cannabis for the Treatment of Chronic Pain: A Review of Clinical Effectiveness and Guidelines</b:Title>
    <b:Year>2019</b:Year>
    <b:Author>
      <b:Author>
        <b:Corporate>The Canadian Agency for Drugs and Technologies</b:Corporate>
      </b:Author>
    </b:Author>
    <b:Month>July</b:Month>
    <b:YearAccessed>2022</b:YearAccessed>
    <b:MonthAccessed>September</b:MonthAccessed>
    <b:URL>https://www.cadth.ca/sites/default/files/pdf/htis/2019/RC1153%20Cannabis%20Chronic%20Pain%20Final.pdf</b:URL>
    <b:RefOrder>44</b:RefOrder>
  </b:Source>
  <b:Source>
    <b:Tag>Den16</b:Tag>
    <b:SourceType>JournalArticle</b:SourceType>
    <b:Guid>{17A800E4-B7BA-499C-AA65-25D87864F610}</b:Guid>
    <b:Title>Clinical practice guidelines for the management of neuropathic pain: a systematic review</b:Title>
    <b:Year>2016</b:Year>
    <b:Author>
      <b:Author>
        <b:Corporate>Deng et al</b:Corporate>
      </b:Author>
    </b:Author>
    <b:JournalName>BMC Anaesthesiol</b:JournalName>
    <b:Volume>16</b:Volume>
    <b:Issue>12</b:Issue>
    <b:RefOrder>45</b:RefOrder>
  </b:Source>
  <b:Source>
    <b:Tag>WHa18</b:Tag>
    <b:SourceType>JournalArticle</b:SourceType>
    <b:Guid>{A7557B22-1D71-4DC9-91DE-2E0017275D2D}</b:Guid>
    <b:Author>
      <b:Author>
        <b:Corporate>W Hauser et al</b:Corporate>
      </b:Author>
    </b:Author>
    <b:Title>European Pain Federation (EFIC) position paper on appropriate use of cannabis based medicines and medical cannabis for chronic pain management</b:Title>
    <b:JournalName>Eur J Pain</b:JournalName>
    <b:Year>2018</b:Year>
    <b:Pages>1547-1564</b:Pages>
    <b:Volume>22</b:Volume>
    <b:Issue>9</b:Issue>
    <b:RefOrder>46</b:RefOrder>
  </b:Source>
  <b:Source>
    <b:Tag>GMA18</b:Tag>
    <b:SourceType>JournalArticle</b:SourceType>
    <b:Guid>{AFE77B3C-1779-4D32-B296-93A571EAD167}</b:Guid>
    <b:Author>
      <b:Author>
        <b:Corporate>GM Allan et al</b:Corporate>
      </b:Author>
    </b:Author>
    <b:Title>Simplified Guideline for prescribing medical cannabinoids in primary care</b:Title>
    <b:JournalName>Can Fam Physician</b:JournalName>
    <b:Year>2018</b:Year>
    <b:Pages>111-120</b:Pages>
    <b:Volume>64</b:Volume>
    <b:Issue>2</b:Issue>
    <b:RefOrder>47</b:RefOrder>
  </b:Source>
  <b:Source>
    <b:Tag>Col14</b:Tag>
    <b:SourceType>DocumentFromInternetSite</b:SourceType>
    <b:Guid>{44DDDE5C-41A5-46D9-A9EE-DE35D4C8FA66}</b:Guid>
    <b:Title>Authorizing dried cannabis for chronic pain or anxiety</b:Title>
    <b:Year>2014</b:Year>
    <b:Author>
      <b:Author>
        <b:Corporate>College of Family Physicians of Canada</b:Corporate>
      </b:Author>
    </b:Author>
    <b:YearAccessed>2022</b:YearAccessed>
    <b:MonthAccessed>September</b:MonthAccessed>
    <b:URL>https://www.cfpc.ca/CFPC/media/Resources/Addiction-Medicine/Authorizing-Dried-Cannabis-for-Chronic-Pain-or-Anxiety.pdf</b:URL>
    <b:RefOrder>48</b:RefOrder>
  </b:Source>
  <b:Source>
    <b:Tag>DMo14</b:Tag>
    <b:SourceType>JournalArticle</b:SourceType>
    <b:Guid>{26BD5AD6-3039-4263-B531-2B9BBA164137}</b:Guid>
    <b:Title>Pharmacological management of chronic neuropathic pain: revised consensus statement from the Canadian Pain Society</b:Title>
    <b:Year>2014</b:Year>
    <b:Author>
      <b:Author>
        <b:Corporate>D Moulin et al</b:Corporate>
      </b:Author>
    </b:Author>
    <b:JournalName>Pain Res Manag</b:JournalName>
    <b:Pages>328-335</b:Pages>
    <b:Volume>19</b:Volume>
    <b:Issue>6</b:Issue>
    <b:RefOrder>49</b:RefOrder>
  </b:Source>
  <b:Source>
    <b:Tag>ABi22</b:Tag>
    <b:SourceType>JournalArticle</b:SourceType>
    <b:Guid>{60D78441-7AB3-4226-9188-F8791D756530}</b:Guid>
    <b:Author>
      <b:Author>
        <b:Corporate>A Bilbao et al</b:Corporate>
      </b:Author>
    </b:Author>
    <b:Title>Medical cannabinoids: a pharmacology-based systematic review and meta-analysis for all relvant medical indications</b:Title>
    <b:JournalName>BMC Medical</b:JournalName>
    <b:Year>2022</b:Year>
    <b:Volume>20</b:Volume>
    <b:Issue>259</b:Issue>
    <b:RefOrder>50</b:RefOrder>
  </b:Source>
  <b:Source>
    <b:Tag>The18</b:Tag>
    <b:SourceType>DocumentFromInternetSite</b:SourceType>
    <b:Guid>{11B97211-F1E6-4F52-8CD8-ABBDEF348264}</b:Guid>
    <b:Title>The British Pain Society position statement on the use of medicinal cannabis and cannabis-based products in the management of chronic pain</b:Title>
    <b:Year>2018</b:Year>
    <b:Author>
      <b:Author>
        <b:Corporate>The British Pain Society</b:Corporate>
      </b:Author>
    </b:Author>
    <b:Month>October</b:Month>
    <b:YearAccessed>2022</b:YearAccessed>
    <b:MonthAccessed>September</b:MonthAccessed>
    <b:URL>https://www.britishpainsociety.org/static/uploads/resources/files/BPS_position_statement_25_11_19.pdf</b:URL>
    <b:RefOrder>51</b:RefOrder>
  </b:Source>
  <b:Source>
    <b:Tag>JTh22</b:Tag>
    <b:SourceType>Misc</b:SourceType>
    <b:Guid>{B88D0267-3744-40BF-B311-8A84F681C607}</b:Guid>
    <b:Title>The benefits and side-effects of Sativex oromucosal cannabinoid spray as observed in Preston's neurorehabilitation clinic: a Retrospective Cohort Study</b:Title>
    <b:Year>June 2022</b:Year>
    <b:Author>
      <b:Author>
        <b:Corporate>J Thiruchelvam</b:Corporate>
      </b:Author>
    </b:Author>
    <b:RefOrder>52</b:RefOrder>
  </b:Source>
  <b:Source>
    <b:Tag>FZe21</b:Tag>
    <b:SourceType>JournalArticle</b:SourceType>
    <b:Guid>{715922A7-1B25-4706-BA87-276FD671C01E}</b:Guid>
    <b:Title>Degarelix for treating advanced hormone-sensitive prostate cancer</b:Title>
    <b:Year>2021</b:Year>
    <b:Author>
      <b:Author>
        <b:Corporate>F Zengerling et al</b:Corporate>
      </b:Author>
    </b:Author>
    <b:JournalName>Cochrane Database of Systematic Reviews</b:JournalName>
    <b:Pages>CD012548. </b:Pages>
    <b:RefOrder>53</b:RefOrder>
  </b:Source>
  <b:Source>
    <b:Tag>Nat16</b:Tag>
    <b:SourceType>DocumentFromInternetSite</b:SourceType>
    <b:Guid>{E71201C7-8F52-4873-A7F0-2FA7FCA52CF1}</b:Guid>
    <b:Title>Degarelix for treating advanced hormone-dependent prostate cancer</b:Title>
    <b:Year>2016</b:Year>
    <b:Author>
      <b:Author>
        <b:Corporate>National Institute for Health and Care Excellence</b:Corporate>
      </b:Author>
    </b:Author>
    <b:Month>August</b:Month>
    <b:YearAccessed>2022</b:YearAccessed>
    <b:MonthAccessed>August</b:MonthAccessed>
    <b:URL>https://www.nice.org.uk/guidance/ta404</b:URL>
    <b:RefOrder>54</b:RefOrder>
  </b:Source>
  <b:Source>
    <b:Tag>Sco10</b:Tag>
    <b:SourceType>DocumentFromInternetSite</b:SourceType>
    <b:Guid>{064FD1DC-65AA-42F3-BDF1-285FD6C0F95E}</b:Guid>
    <b:Author>
      <b:Author>
        <b:Corporate>Scottish Medicines Consortium</b:Corporate>
      </b:Author>
    </b:Author>
    <b:Title>Degarelix 120mg and 80mg powder and solvent for solution for injection (Firmagon)</b:Title>
    <b:Year>2010</b:Year>
    <b:Month>December</b:Month>
    <b:YearAccessed>2022</b:YearAccessed>
    <b:MonthAccessed>August</b:MonthAccessed>
    <b:URL>https://www.scottishmedicines.org.uk/media/1544/degarelix_firmagon_resubmission_final_december_2010doc_for_website.pdf</b:URL>
    <b:RefOrder>55</b:RefOrder>
  </b:Source>
  <b:Source>
    <b:Tag>Ele21</b:Tag>
    <b:SourceType>InternetSite</b:SourceType>
    <b:Guid>{85BF94E6-C75B-405C-9724-C0F163AD582A}</b:Guid>
    <b:Title>Bijuve 1 mg/ 100 mg Capsules, soft Summary of Product Characteristics</b:Title>
    <b:Year>2021</b:Year>
    <b:Author>
      <b:Author>
        <b:Corporate>Electronic Medicines Compendium</b:Corporate>
      </b:Author>
    </b:Author>
    <b:ProductionCompany>Theramex UK Limited</b:ProductionCompany>
    <b:Month>February</b:Month>
    <b:YearAccessed>2022</b:YearAccessed>
    <b:MonthAccessed>December</b:MonthAccessed>
    <b:URL>https://www.medicines.org.uk/emc/product/12922</b:URL>
    <b:RefOrder>56</b:RefOrder>
  </b:Source>
  <b:Source>
    <b:Tag>Nat</b:Tag>
    <b:SourceType>DocumentFromInternetSite</b:SourceType>
    <b:Guid>{825DAC7B-630D-43D5-9B43-AD5D3B0F94F4}</b:Guid>
    <b:Title>Menopause: Diagnosis and Management NG23</b:Title>
    <b:Author>
      <b:Author>
        <b:Corporate>National Institute for Health and Care Excellence</b:Corporate>
      </b:Author>
    </b:Author>
    <b:URL>https://www.nice.org.uk/guidance/ng23</b:URL>
    <b:Year>2015</b:Year>
    <b:Month>Nov</b:Month>
    <b:YearAccessed>2022</b:YearAccessed>
    <b:MonthAccessed>December</b:MonthAccessed>
    <b:RefOrder>57</b:RefOrder>
  </b:Source>
  <b:Source>
    <b:Tag>Nat17</b:Tag>
    <b:SourceType>DocumentFromInternetSite</b:SourceType>
    <b:Guid>{C19747C8-C6F4-4258-BE2B-8EBD8ADFD63D}</b:Guid>
    <b:Author>
      <b:Author>
        <b:Corporate>National Institute for Health and Care Excellence</b:Corporate>
      </b:Author>
    </b:Author>
    <b:Title>NICE Quality Standard 143 Menopause</b:Title>
    <b:Year>2017</b:Year>
    <b:Month>February</b:Month>
    <b:YearAccessed>2022</b:YearAccessed>
    <b:MonthAccessed>December</b:MonthAccessed>
    <b:URL>https://www.nice.org.uk/guidance/qs143</b:URL>
    <b:RefOrder>58</b:RefOrder>
  </b:Source>
  <b:Source>
    <b:Tag>Nat20</b:Tag>
    <b:SourceType>DocumentFromInternetSite</b:SourceType>
    <b:Guid>{C6A4EF6D-1D62-453C-8590-D8A79B5A5F54}</b:Guid>
    <b:Author>
      <b:Author>
        <b:Corporate>National Institute for Health and Care Excellence</b:Corporate>
      </b:Author>
    </b:Author>
    <b:Title>NICE CKS: Menopause</b:Title>
    <b:Year>2020</b:Year>
    <b:Month>November</b:Month>
    <b:YearAccessed>2022</b:YearAccessed>
    <b:MonthAccessed>December</b:MonthAccessed>
    <b:URL>https://www.nice.org.uk/guidance/qs143</b:URL>
    <b:RefOrder>59</b:RefOrder>
  </b:Source>
  <b:Source>
    <b:Tag>Bri</b:Tag>
    <b:SourceType>DocumentFromInternetSite</b:SourceType>
    <b:Guid>{E19F40A9-CCBD-44A0-93FA-57FF2FFF7F38}</b:Guid>
    <b:Author>
      <b:Author>
        <b:Corporate>British National Formulary</b:Corporate>
      </b:Author>
    </b:Author>
    <b:Title>Sex Hormones</b:Title>
    <b:MonthAccessed>December</b:MonthAccessed>
    <b:DayAccessed>2022</b:DayAccessed>
    <b:URL>https://bnf.nice.org.uk/treatment-summary/sex-hormones.html</b:URL>
    <b:RefOrder>60</b:RefOrder>
  </b:Source>
  <b:Source>
    <b:Tag>Bri21</b:Tag>
    <b:SourceType>DocumentFromInternetSite</b:SourceType>
    <b:Guid>{C3911736-0507-4D8E-A81D-0F5E2767D4AF}</b:Guid>
    <b:Author>
      <b:Author>
        <b:Corporate>British Menopause Society</b:Corporate>
      </b:Author>
    </b:Author>
    <b:Title>Progestogens and endometrial protection</b:Title>
    <b:Year>2021</b:Year>
    <b:Month>October</b:Month>
    <b:YearAccessed>2022</b:YearAccessed>
    <b:MonthAccessed>December</b:MonthAccessed>
    <b:RefOrder>61</b:RefOrder>
  </b:Source>
  <b:Source>
    <b:Tag>RAL18</b:Tag>
    <b:SourceType>JournalArticle</b:SourceType>
    <b:Guid>{811A7D0C-8C84-4D21-A57B-968B63332309}</b:Guid>
    <b:Title>A 17b-Estradiol–Progesterone Oral Capsule for Vasomotor Symptoms in Postmenopausal Women: A Randomized Controlled Trial</b:Title>
    <b:Year>2018</b:Year>
    <b:Author>
      <b:Author>
        <b:Corporate>RA Lobo et al</b:Corporate>
      </b:Author>
    </b:Author>
    <b:JournalName>Obstetrics and Gynecology</b:JournalName>
    <b:Pages>161-170</b:Pages>
    <b:Volume>132</b:Volume>
    <b:Issue>1</b:Issue>
    <b:RefOrder>62</b:RefOrder>
  </b:Source>
  <b:Source>
    <b:Tag>AMI16</b:Tag>
    <b:SourceType>JournalArticle</b:SourceType>
    <b:Guid>{2F88EB79-A262-4625-A067-F076C648E24A}</b:Guid>
    <b:Author>
      <b:Author>
        <b:Corporate>AMIS Gaudard et al</b:Corporate>
      </b:Author>
    </b:Author>
    <b:Title>Bioidentical hormones for women with vasomotor symptoms (Review)</b:Title>
    <b:JournalName>Cochrane Database of Systematic Reviews</b:JournalName>
    <b:Year>2016</b:Year>
    <b:Pages>CD010407</b:Pages>
    <b:Issue>8</b:Issue>
    <b:RefOrder>63</b:RefOrder>
  </b:Source>
  <b:Source>
    <b:Tag>The22</b:Tag>
    <b:SourceType>JournalArticle</b:SourceType>
    <b:Guid>{4EE128D3-3CAD-46B1-8561-479C284DBDA7}</b:Guid>
    <b:Title>CADTH Reimbursement Review Estradiol and Progesterone (BIJUVA)</b:Title>
    <b:Year>2022</b:Year>
    <b:Author>
      <b:Author>
        <b:Corporate>The Canadian Agency for Drugs and Technologies in Health (CADTH)</b:Corporate>
      </b:Author>
    </b:Author>
    <b:JournalName>Canadian Journal of Health Technologies</b:JournalName>
    <b:Volume>2</b:Volume>
    <b:Issue>4</b:Issue>
    <b:RefOrder>64</b:RefOrder>
  </b:Source>
  <b:Source>
    <b:Tag>Placeholder1</b:Tag>
    <b:SourceType>InternetSite</b:SourceType>
    <b:Guid>{8B44EBB6-DBFB-4D2F-A9AE-A639BE9C39D8}</b:Guid>
    <b:Author>
      <b:Author>
        <b:Corporate>Scottish Medicines Consortium</b:Corporate>
      </b:Author>
    </b:Author>
    <b:Title>Estradiol / micronised progesterone (Bijuve)</b:Title>
    <b:Year>2022</b:Year>
    <b:Month>August</b:Month>
    <b:YearAccessed>2022</b:YearAccessed>
    <b:MonthAccessed>December</b:MonthAccessed>
    <b:URL>https://www.scottishmedicines.org.uk/media/7098/estradiol-micronised-progesterone-bijuve-abb-final-aug-2022-for-website.pdf</b:URL>
    <b:RefOrder>65</b:RefOrder>
  </b:Source>
  <b:Source>
    <b:Tag>Bri211</b:Tag>
    <b:SourceType>InternetSite</b:SourceType>
    <b:Guid>{F8140B57-734C-4FC6-8AF7-06FAC02E45AD}</b:Guid>
    <b:Author>
      <b:Author>
        <b:Corporate>British Menopause Society</b:Corporate>
      </b:Author>
    </b:Author>
    <b:Title>BMS &amp; WHC’s 2020 recommendations on hormone replacement therapy in menopausal women</b:Title>
    <b:Year>2021</b:Year>
    <b:Month>March</b:Month>
    <b:YearAccessed>2022</b:YearAccessed>
    <b:MonthAccessed>December</b:MonthAccessed>
    <b:URL>thebms.org.uk/publications/consensus-statements/bms-whcs-2020-recommendations-on-hormone-replacement-therapy-in-menopausal-women</b:URL>
    <b:RefOrder>66</b:RefOrder>
  </b:Source>
  <b:Source>
    <b:Tag>Med19</b:Tag>
    <b:SourceType>InternetSite</b:SourceType>
    <b:Guid>{5ADD5E7B-0666-44EA-8887-D6DC9938A741}</b:Guid>
    <b:Year>2019</b:Year>
    <b:Author>
      <b:Author>
        <b:Corporate>Medicines and Healthcare products Regulatory Agency</b:Corporate>
      </b:Author>
    </b:Author>
    <b:Title>Hormone replacement therapy (HRT): further information on the known increased risk of breast cancer with HRT and its persistence after stopping</b:Title>
    <b:YearAccessed>2022</b:YearAccessed>
    <b:MonthAccessed>December</b:MonthAccessed>
    <b:URL>https://www.gov.uk/drug-safety-update/hormone-replacement-therapy-hrt-further-information-on-the-known-increased-risk-of-breast-cancer-with-hrt-and-its-persistence-after-stopping</b:URL>
    <b:RefOrder>67</b:RefOrder>
  </b:Source>
  <b:Source>
    <b:Tag>Med14</b:Tag>
    <b:SourceType>InternetSite</b:SourceType>
    <b:Guid>{994B4CFA-3970-46EC-89AD-62BE26D412F7}</b:Guid>
    <b:Author>
      <b:Author>
        <b:Corporate>Medicines and Healthcare products Regulatory Agency</b:Corporate>
      </b:Author>
    </b:Author>
    <b:Title>Hormone-replacement therapy - updated advice</b:Title>
    <b:Year>2014</b:Year>
    <b:Month>December</b:Month>
    <b:YearAccessed>2022</b:YearAccessed>
    <b:MonthAccessed>December</b:MonthAccessed>
    <b:URL>https://www.gov.uk/drug-safety-update/hormone-replacement-therapy-updated-advice</b:URL>
    <b:RefOrder>68</b:RefOrder>
  </b:Source>
  <b:Source>
    <b:Tag>Nat18</b:Tag>
    <b:SourceType>DocumentFromInternetSite</b:SourceType>
    <b:Guid>{A43A4060-38EF-445F-A7B7-4896ABA8FE55}</b:Guid>
    <b:Author>
      <b:Author>
        <b:Corporate>National Institute for Health and Care Excellence</b:Corporate>
      </b:Author>
    </b:Author>
    <b:Title>Early and locally advanced breast cancer: diagnosis and management</b:Title>
    <b:Year>2018</b:Year>
    <b:Month>July</b:Month>
    <b:YearAccessed>2023</b:YearAccessed>
    <b:MonthAccessed>May</b:MonthAccessed>
    <b:URL>https://www.nice.org.uk/guidance/ng101</b:URL>
    <b:RefOrder>1</b:RefOrder>
  </b:Source>
  <b:Source>
    <b:Tag>FCa19</b:Tag>
    <b:SourceType>JournalArticle</b:SourceType>
    <b:Guid>{EA7BC6DC-5CF1-451D-ACEC-6B88CE8EA774}</b:Guid>
    <b:Author>
      <b:Author>
        <b:Corporate>F Cardoso et al</b:Corporate>
      </b:Author>
    </b:Author>
    <b:Title>Early breast cancer: ESMO Clinical Practice Guidelines for diagnosis, treatment and follow-up</b:Title>
    <b:Year>2019</b:Year>
    <b:Month>June</b:Month>
    <b:JournalName>Annals of Oncology</b:JournalName>
    <b:Pages>1194-1220</b:Pages>
    <b:Volume>30</b:Volume>
    <b:RefOrder>2</b:RefOrder>
  </b:Source>
  <b:Source>
    <b:Tag>AEi22</b:Tag>
    <b:SourceType>JournalArticle</b:SourceType>
    <b:Guid>{36B13834-AE38-43CC-856B-31E611C8ACE8}</b:Guid>
    <b:Author>
      <b:Author>
        <b:Corporate>A Eisen et al</b:Corporate>
      </b:Author>
    </b:Author>
    <b:Title>Use of Adjuvant Bisphosphonates and Other Bone-Modifying Agents in Breast Cancer: ASCO-OH (CCO) Guideline Update</b:Title>
    <b:JournalName>J Clin Oncol</b:JournalName>
    <b:Year>2022</b:Year>
    <b:Pages>787-800</b:Pages>
    <b:Volume>40</b:Volume>
    <b:Issue>7</b:Issue>
    <b:RefOrder>3</b:RefOrder>
  </b:Source>
  <b:Source>
    <b:Tag>Ear17</b:Tag>
    <b:SourceType>JournalArticle</b:SourceType>
    <b:Guid>{F06FF90E-6353-471E-B936-108DFE4EFDC5}</b:Guid>
    <b:Author>
      <b:Author>
        <b:Corporate>Early Breast Cancer Trialists' Group (EBCTCG)</b:Corporate>
      </b:Author>
    </b:Author>
    <b:Title>Adjuvant bisphosphonate treatment in early breast cancer: meta-analyses of individual patient data from randomised trials</b:Title>
    <b:JournalName>Lancet</b:JournalName>
    <b:Year>2017</b:Year>
    <b:Pages>1353-1361</b:Pages>
    <b:Volume>386</b:Volume>
    <b:RefOrder>4</b:RefOrder>
  </b:Source>
  <b:Source>
    <b:Tag>Placeholder2</b:Tag>
    <b:SourceType>DocumentFromInternetSite</b:SourceType>
    <b:Guid>{B65545AD-1D12-406F-B5CF-DE30470AB0F5}</b:Guid>
    <b:Author>
      <b:Author>
        <b:Corporate>Electronic Medicines Compendium</b:Corporate>
      </b:Author>
    </b:Author>
    <b:Title>Summary of Product Characteristics Bondronat 50 mg tablets</b:Title>
    <b:Year>2021</b:Year>
    <b:Month>Jan</b:Month>
    <b:YearAccessed>2023</b:YearAccessed>
    <b:MonthAccessed>May</b:MonthAccessed>
    <b:URL>https://www.medicines.org.uk/emc/product/9373/smpc</b:URL>
    <b:RefOrder>5</b:RefOrder>
  </b:Source>
  <b:Source>
    <b:Tag>Bus23</b:Tag>
    <b:SourceType>InternetSite</b:SourceType>
    <b:Guid>{1DD2072D-00B5-4DEA-8017-F0AA3EBE46BF}</b:Guid>
    <b:Author>
      <b:Author>
        <b:Corporate>Business Services Authority</b:Corporate>
      </b:Author>
    </b:Author>
    <b:Title>Drug Tariff</b:Title>
    <b:YearAccessed>2023</b:YearAccessed>
    <b:MonthAccessed>June</b:MonthAccessed>
    <b:DayAccessed>28</b:DayAccessed>
    <b:URL>https://www.nhsbsa.nhs.uk/pharmacies-gp-practices-and-appliance-contractors/drug-tariff</b:URL>
    <b:RefOrder>6</b:RefOrder>
  </b:Source>
  <b:Source>
    <b:Tag>DHS23</b:Tag>
    <b:SourceType>InternetSite</b:SourceType>
    <b:Guid>{76E22984-BB88-4878-BE37-77F8EF348957}</b:Guid>
    <b:Title>Drugs and pharmaceutical electronic market information tool (eMIT)</b:Title>
    <b:Author>
      <b:Author>
        <b:Corporate>DHSC</b:Corporate>
      </b:Author>
    </b:Author>
    <b:YearAccessed>2023</b:YearAccessed>
    <b:MonthAccessed>June</b:MonthAccessed>
    <b:DayAccessed>28</b:DayAccessed>
    <b:URL>https://www.gov.uk/government/publications/drugs-and-pharmaceutical-electronic-market-information-emit</b:URL>
    <b:RefOrder>7</b:RefOrder>
  </b:Source>
  <b:Source>
    <b:Tag>JGr20</b:Tag>
    <b:SourceType>JournalArticle</b:SourceType>
    <b:Guid>{17492BE0-865D-44F9-8A9D-FFD9BB5C0400}</b:Guid>
    <b:Author>
      <b:Author>
        <b:Corporate>J Gralow et al </b:Corporate>
      </b:Author>
    </b:Author>
    <b:Title>Phase III Randomized Trial of Bisphosphonates as Adjuvant Therapy in Breast Cancer: S0307</b:Title>
    <b:JournalName>JNCI J Natl Cancer Inst</b:JournalName>
    <b:Year>2020</b:Year>
    <b:Pages>698-707</b:Pages>
    <b:Volume>112</b:Volume>
    <b:Issue>7</b:Issue>
    <b:RefOrder>8</b:RefOrder>
  </b:Source>
  <b:Source>
    <b:Tag>The20</b:Tag>
    <b:SourceType>InternetSite</b:SourceType>
    <b:Guid>{0DA1D0F7-8D2A-45F5-9D01-B838C3EB94AA}</b:Guid>
    <b:Author>
      <b:Author>
        <b:Corporate>The Christie NHS Foundation Trust</b:Corporate>
      </b:Author>
    </b:Author>
    <b:Title>Ibandronic acid for metastatic breast</b:Title>
    <b:Year>2020</b:Year>
    <b:Month>July</b:Month>
    <b:YearAccessed>2023</b:YearAccessed>
    <b:MonthAccessed>June</b:MonthAccessed>
    <b:DayAccessed>28</b:DayAccessed>
    <b:URL>https://www.christie.nhs.uk/media/nycihpyt/510-ibandronic-acide-for-metastatic-breast-cancer-ct-unlocked.pdf</b:URL>
    <b:RefOrder>9</b:RefOrder>
  </b:Source>
  <b:Source>
    <b:Tag>NIC16</b:Tag>
    <b:SourceType>InternetSite</b:SourceType>
    <b:Guid>{9E808CFD-C491-4667-AAB0-3743032DB6AA}</b:Guid>
    <b:Title>Palliative care for adults: strong opioids for pain relief</b:Title>
    <b:Year>2016</b:Year>
    <b:Author>
      <b:Author>
        <b:Corporate>NICE</b:Corporate>
      </b:Author>
    </b:Author>
    <b:Month>August</b:Month>
    <b:YearAccessed>2023</b:YearAccessed>
    <b:MonthAccessed>October</b:MonthAccessed>
    <b:URL>https://www.nice.org.uk/guidance/cg140</b:URL>
    <b:RefOrder>1</b:RefOrder>
  </b:Source>
  <b:Source>
    <b:Tag>NAt22</b:Tag>
    <b:SourceType>JournalArticle</b:SourceType>
    <b:Guid>{E3BBAEB9-F19B-4555-860A-14DCB7E523EF}</b:Guid>
    <b:Title>Pharmacokinetics of Morphine Sulfate Orodispersible Tablets and Bioequivalence with Immediate-Release Oral Morphine Sulfate Formulations in Healthy Adult Subjects Under Fasting Conditions: Single-Dose Comparative Bioavailability Studies</b:Title>
    <b:Year>2022</b:Year>
    <b:Author>
      <b:Author>
        <b:Corporate>N Atrux-Tallau et al</b:Corporate>
      </b:Author>
    </b:Author>
    <b:JournalName>Clinical Drug Investigation</b:JournalName>
    <b:Pages>1101-1112</b:Pages>
    <b:Volume>42</b:Volume>
    <b:Issue>12</b:Issue>
    <b:RefOrder>2</b:RefOrder>
  </b:Source>
  <b:Source>
    <b:Tag>Ele212</b:Tag>
    <b:SourceType>InternetSite</b:SourceType>
    <b:Guid>{D475776C-49BC-4786-9C72-67AD776CF723}</b:Guid>
    <b:Author>
      <b:Author>
        <b:Corporate>Electronic Medicines Compendium</b:Corporate>
      </b:Author>
    </b:Author>
    <b:Title>Summary of Products Characteristics Actimorph orodispersible tablets</b:Title>
    <b:Year>2021</b:Year>
    <b:Month>July</b:Month>
    <b:YearAccessed>2023</b:YearAccessed>
    <b:MonthAccessed>October</b:MonthAccessed>
    <b:URL>https://www.medicines.org.uk/emc/product/13439/smpc</b:URL>
    <b:RefOrder>3</b:RefOrder>
  </b:Source>
  <b:Source>
    <b:Tag>Nat21</b:Tag>
    <b:SourceType>InternetSite</b:SourceType>
    <b:Guid>{00CD2968-C1DA-4A45-BEDE-C14267200CB8}</b:Guid>
    <b:Author>
      <b:Author>
        <b:Corporate>National Institute for Health and Care Excellence</b:Corporate>
      </b:Author>
    </b:Author>
    <b:Title>NICE Clinical Knowledge Summary - Temporomandibular disorders (TMDs)</b:Title>
    <b:Year>2021</b:Year>
    <b:Month>August</b:Month>
    <b:YearAccessed>2023</b:YearAccessed>
    <b:MonthAccessed>February</b:MonthAccessed>
    <b:URL>https://cks.nice.org.uk/topics/temporomandibular-disorders-tmds/</b:URL>
    <b:RefOrder>4</b:RefOrder>
  </b:Source>
  <b:Source>
    <b:Tag>Fac23</b:Tag>
    <b:SourceType>InternetSite</b:SourceType>
    <b:Guid>{D788DE1D-916D-4AAB-84F1-B2F8787FD3B4}</b:Guid>
    <b:Author>
      <b:Author>
        <b:Corporate>Facial Palsy UK</b:Corporate>
      </b:Author>
    </b:Author>
    <b:Title>Trismus Patient Guide</b:Title>
    <b:Year>2023</b:Year>
    <b:Month>January</b:Month>
    <b:YearAccessed>2023</b:YearAccessed>
    <b:MonthAccessed>February</b:MonthAccessed>
    <b:URL>https://www.facialpalsy.org.uk/support/patient-guides/trismus/</b:URL>
    <b:RefOrder>5</b:RefOrder>
  </b:Source>
  <b:Source>
    <b:Tag>NHSry</b:Tag>
    <b:SourceType>InternetSite</b:SourceType>
    <b:Guid>{9039BE76-5D33-4B27-9A1F-4F92B9671F97}</b:Guid>
    <b:Author>
      <b:Author>
        <b:Corporate>NHS Business Services Authority</b:Corporate>
      </b:Author>
    </b:Author>
    <b:Title>NHS Electronic Drug Tariff</b:Title>
    <b:Year>February</b:Year>
    <b:Month>2023</b:Month>
    <b:YearAccessed>February</b:YearAccessed>
    <b:MonthAccessed>2023</b:MonthAccessed>
    <b:URL>http://www.drugtariff.nhsbsa.nhs.uk/#/00655804-DA/DA00655687/Part%20IXA-Appliances</b:URL>
    <b:RefOrder>6</b:RefOrder>
  </b:Source>
  <b:Source>
    <b:Tag>ECh22</b:Tag>
    <b:SourceType>JournalArticle</b:SourceType>
    <b:Guid>{A325BC16-7FE4-43A4-926F-55E21D882031}</b:Guid>
    <b:Author>
      <b:Author>
        <b:Corporate>E Charters et al</b:Corporate>
      </b:Author>
    </b:Author>
    <b:Title>Trismus therapy devices: A systematic review</b:Title>
    <b:Year>2022</b:Year>
    <b:JournalName>Oral Oncology</b:JournalName>
    <b:Pages>105728</b:Pages>
    <b:RefOrder>7</b:RefOrder>
  </b:Source>
  <b:Source>
    <b:Tag>CHS20</b:Tag>
    <b:SourceType>JournalArticle</b:SourceType>
    <b:Guid>{2B158EF9-F5EC-4506-8DC2-E2732FAAFE97}</b:Guid>
    <b:Author>
      <b:Author>
        <b:Corporate>CH Shao et al</b:Corporate>
      </b:Author>
    </b:Author>
    <b:Title>Exercise therapy for cancer treatment-induced trismus in patients with head and neck cancer: A systematic review and meta-analysis of randomized controlled trials</b:Title>
    <b:JournalName>Radiotherapy and Oncology</b:JournalName>
    <b:Year>2020</b:Year>
    <b:Pages>249-255</b:Pages>
    <b:Volume>151</b:Volume>
    <b:RefOrder>8</b:RefOrder>
  </b:Source>
  <b:Source>
    <b:Tag>Ato20</b:Tag>
    <b:SourceType>DocumentFromInternetSite</b:SourceType>
    <b:Guid>{A2C82EF2-1C75-4637-AA27-1D6A432C95FF}</b:Guid>
    <b:Author>
      <b:Author>
        <b:Corporate>Atos Medical</b:Corporate>
      </b:Author>
    </b:Author>
    <b:Title>TheraBite Manual</b:Title>
    <b:Year>2020</b:Year>
    <b:YearAccessed>2023</b:YearAccessed>
    <b:MonthAccessed>February</b:MonthAccessed>
    <b:URL>https://www.atosmedical.co.uk/product/therabite-jaw-rehabilitation-system/</b:URL>
    <b:RefOrder>9</b:RefOrder>
  </b:Source>
</b:Sources>
</file>

<file path=customXml/itemProps1.xml><?xml version="1.0" encoding="utf-8"?>
<ds:datastoreItem xmlns:ds="http://schemas.openxmlformats.org/officeDocument/2006/customXml" ds:itemID="{F45B58AE-CC0F-4A05-9180-F5DFC4DC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2024-02-01T10:48:00Z</dcterms:created>
  <dcterms:modified xsi:type="dcterms:W3CDTF">2024-02-01T10:48:00Z</dcterms:modified>
</cp:coreProperties>
</file>